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95FE" w14:textId="61F56C9A" w:rsidR="00601669" w:rsidRPr="00FD2D32" w:rsidRDefault="00601669" w:rsidP="00FD2D32">
      <w:pPr>
        <w:pStyle w:val="NormalWeb"/>
        <w:spacing w:before="0" w:beforeAutospacing="0" w:after="0" w:afterAutospacing="0"/>
        <w:ind w:right="-90"/>
        <w:jc w:val="center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FD2D32">
        <w:rPr>
          <w:rFonts w:asciiTheme="minorHAnsi" w:hAnsiTheme="minorHAnsi" w:cstheme="minorHAnsi"/>
          <w:b/>
          <w:bCs/>
          <w:sz w:val="22"/>
          <w:szCs w:val="22"/>
        </w:rPr>
        <w:t>CAES Value Proposition</w:t>
      </w:r>
      <w:r w:rsidR="00A750F3" w:rsidRPr="00FD2D3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3246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750F3" w:rsidRPr="00FD2D32">
        <w:rPr>
          <w:rFonts w:asciiTheme="minorHAnsi" w:hAnsiTheme="minorHAnsi" w:cstheme="minorHAnsi"/>
          <w:b/>
          <w:bCs/>
          <w:sz w:val="22"/>
          <w:szCs w:val="22"/>
        </w:rPr>
        <w:t>roposed for S</w:t>
      </w:r>
      <w:r w:rsidR="00A3246F">
        <w:rPr>
          <w:rFonts w:asciiTheme="minorHAnsi" w:hAnsiTheme="minorHAnsi" w:cstheme="minorHAnsi"/>
          <w:b/>
          <w:bCs/>
          <w:sz w:val="22"/>
          <w:szCs w:val="22"/>
        </w:rPr>
        <w:t>teering Committee’s</w:t>
      </w:r>
      <w:r w:rsidR="00A750F3" w:rsidRPr="00FD2D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46F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1A6AF7" w:rsidRPr="00FD2D32">
        <w:rPr>
          <w:rFonts w:asciiTheme="minorHAnsi" w:hAnsiTheme="minorHAnsi" w:cstheme="minorHAnsi"/>
          <w:b/>
          <w:bCs/>
          <w:sz w:val="22"/>
          <w:szCs w:val="22"/>
        </w:rPr>
        <w:t>eedback</w:t>
      </w:r>
      <w:r w:rsidR="00A3246F">
        <w:rPr>
          <w:rFonts w:asciiTheme="minorHAnsi" w:hAnsiTheme="minorHAnsi" w:cstheme="minorHAnsi"/>
          <w:b/>
          <w:bCs/>
          <w:sz w:val="22"/>
          <w:szCs w:val="22"/>
        </w:rPr>
        <w:t xml:space="preserve"> and A</w:t>
      </w:r>
      <w:r w:rsidR="00A750F3" w:rsidRPr="00FD2D32">
        <w:rPr>
          <w:rFonts w:asciiTheme="minorHAnsi" w:hAnsiTheme="minorHAnsi" w:cstheme="minorHAnsi"/>
          <w:b/>
          <w:bCs/>
          <w:sz w:val="22"/>
          <w:szCs w:val="22"/>
        </w:rPr>
        <w:t>pproval</w:t>
      </w:r>
    </w:p>
    <w:p w14:paraId="5518DF6E" w14:textId="77777777" w:rsidR="00601669" w:rsidRPr="00FD2D32" w:rsidRDefault="00601669" w:rsidP="00FD2D32">
      <w:pPr>
        <w:pStyle w:val="NormalWeb"/>
        <w:spacing w:before="0" w:beforeAutospacing="0" w:after="0" w:afterAutospacing="0"/>
        <w:ind w:right="-90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</w:p>
    <w:p w14:paraId="52393B9D" w14:textId="23BB032D" w:rsidR="00601669" w:rsidRPr="00A3246F" w:rsidRDefault="00601669" w:rsidP="00FD2D32">
      <w:pPr>
        <w:pStyle w:val="NormalWeb"/>
        <w:spacing w:before="0" w:beforeAutospacing="0" w:after="0" w:afterAutospacing="0"/>
        <w:ind w:right="-90"/>
        <w:rPr>
          <w:rFonts w:eastAsiaTheme="minorEastAsia" w:cstheme="minorHAnsi"/>
        </w:rPr>
      </w:pPr>
      <w:r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The CAES </w:t>
      </w:r>
      <w:r w:rsidR="000B4720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consortium</w:t>
      </w:r>
      <w:r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provides multi-institutional expertise</w:t>
      </w:r>
      <w:r w:rsidR="003E3B5C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,</w:t>
      </w:r>
      <w:r w:rsidR="000B4720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capabilities</w:t>
      </w:r>
      <w:r w:rsidR="003E3B5C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, and </w:t>
      </w:r>
      <w:r w:rsidR="007F1F76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state-o</w:t>
      </w:r>
      <w:r w:rsidR="00BF2675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f</w:t>
      </w:r>
      <w:bookmarkStart w:id="0" w:name="_GoBack"/>
      <w:bookmarkEnd w:id="0"/>
      <w:r w:rsidR="007F1F76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-the-art </w:t>
      </w:r>
      <w:r w:rsidR="003E3B5C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facility access</w:t>
      </w:r>
      <w:r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required to address grand energy challenges. </w:t>
      </w:r>
      <w:r w:rsidR="007A3B2A" w:rsidRPr="00FD2D32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CAES lowers the barrier to collaboration </w:t>
      </w:r>
      <w:r w:rsidR="000B4720" w:rsidRPr="00FD2D32">
        <w:rPr>
          <w:rFonts w:asciiTheme="minorHAnsi" w:eastAsiaTheme="minorEastAsia" w:hAnsiTheme="minorHAnsi" w:cstheme="minorHAnsi"/>
          <w:sz w:val="22"/>
          <w:szCs w:val="22"/>
        </w:rPr>
        <w:t>t</w:t>
      </w:r>
      <w:r w:rsidRPr="00FD2D32">
        <w:rPr>
          <w:rFonts w:asciiTheme="minorHAnsi" w:eastAsiaTheme="minorEastAsia" w:hAnsiTheme="minorHAnsi" w:cstheme="minorHAnsi"/>
          <w:sz w:val="22"/>
          <w:szCs w:val="22"/>
        </w:rPr>
        <w:t xml:space="preserve">hrough </w:t>
      </w:r>
      <w:r w:rsidR="007A3B2A" w:rsidRPr="00FD2D32">
        <w:rPr>
          <w:rFonts w:asciiTheme="minorHAnsi" w:eastAsiaTheme="minorEastAsia" w:hAnsiTheme="minorHAnsi" w:cstheme="minorHAnsi"/>
          <w:sz w:val="22"/>
          <w:szCs w:val="22"/>
        </w:rPr>
        <w:t xml:space="preserve">joint </w:t>
      </w:r>
      <w:r w:rsidR="000B4720" w:rsidRPr="00FD2D32">
        <w:rPr>
          <w:rFonts w:asciiTheme="minorHAnsi" w:eastAsiaTheme="minorEastAsia" w:hAnsiTheme="minorHAnsi" w:cstheme="minorHAnsi"/>
          <w:sz w:val="22"/>
          <w:szCs w:val="22"/>
        </w:rPr>
        <w:t xml:space="preserve">planning and </w:t>
      </w:r>
      <w:r w:rsidRPr="00FD2D32">
        <w:rPr>
          <w:rFonts w:asciiTheme="minorHAnsi" w:eastAsiaTheme="minorEastAsia" w:hAnsiTheme="minorHAnsi" w:cstheme="minorHAnsi"/>
          <w:sz w:val="22"/>
          <w:szCs w:val="22"/>
        </w:rPr>
        <w:t xml:space="preserve">programs </w:t>
      </w:r>
      <w:r w:rsidR="007F1F76" w:rsidRPr="00FD2D32">
        <w:rPr>
          <w:rFonts w:asciiTheme="minorHAnsi" w:eastAsiaTheme="minorEastAsia" w:hAnsiTheme="minorHAnsi" w:cstheme="minorHAnsi"/>
          <w:sz w:val="22"/>
          <w:szCs w:val="22"/>
        </w:rPr>
        <w:t>across research, education, and innovation to create leading-edge opportunities for member researchers, faculty, and students that would otherwise be unavailable. CAES provides</w:t>
      </w:r>
      <w:r w:rsidR="00A3246F">
        <w:rPr>
          <w:rFonts w:asciiTheme="minorHAnsi" w:eastAsiaTheme="minorEastAsia" w:hAnsiTheme="minorHAnsi" w:cstheme="minorHAnsi"/>
          <w:sz w:val="22"/>
          <w:szCs w:val="22"/>
        </w:rPr>
        <w:t>:</w:t>
      </w:r>
      <w:r w:rsidR="00584267" w:rsidRPr="00A3246F">
        <w:rPr>
          <w:rFonts w:eastAsiaTheme="minorEastAsia" w:cstheme="minorHAnsi"/>
        </w:rPr>
        <w:t xml:space="preserve"> </w:t>
      </w:r>
      <w:r w:rsidR="003D6247" w:rsidRPr="00A3246F">
        <w:rPr>
          <w:rFonts w:asciiTheme="minorHAnsi" w:eastAsiaTheme="minorEastAsia" w:hAnsiTheme="minorHAnsi" w:cstheme="minorHAnsi"/>
          <w:sz w:val="22"/>
          <w:szCs w:val="22"/>
        </w:rPr>
        <w:t xml:space="preserve">1) </w:t>
      </w:r>
      <w:r w:rsidR="00584267" w:rsidRPr="00A3246F">
        <w:rPr>
          <w:rFonts w:asciiTheme="minorHAnsi" w:eastAsiaTheme="minorEastAsia" w:hAnsiTheme="minorHAnsi" w:cstheme="minorHAnsi"/>
          <w:sz w:val="22"/>
          <w:szCs w:val="22"/>
        </w:rPr>
        <w:t xml:space="preserve">opportunity for </w:t>
      </w:r>
      <w:r w:rsidR="003D6247" w:rsidRPr="00A3246F">
        <w:rPr>
          <w:rFonts w:asciiTheme="minorHAnsi" w:eastAsiaTheme="minorEastAsia" w:hAnsiTheme="minorHAnsi" w:cstheme="minorHAnsi"/>
          <w:sz w:val="22"/>
          <w:szCs w:val="22"/>
        </w:rPr>
        <w:t>capture of increased and diversified research funding through teaming, including large multi-institutional programs, 2) access to novel and curated multi-institutional education programs, 3) collaborative</w:t>
      </w:r>
      <w:r w:rsidR="00584267" w:rsidRPr="00A3246F">
        <w:rPr>
          <w:rFonts w:asciiTheme="minorHAnsi" w:eastAsiaTheme="minorEastAsia" w:hAnsiTheme="minorHAnsi" w:cstheme="minorHAnsi"/>
          <w:sz w:val="22"/>
          <w:szCs w:val="22"/>
        </w:rPr>
        <w:t xml:space="preserve"> development, </w:t>
      </w:r>
      <w:r w:rsidR="003D6247" w:rsidRPr="00A3246F">
        <w:rPr>
          <w:rFonts w:asciiTheme="minorHAnsi" w:eastAsiaTheme="minorEastAsia" w:hAnsiTheme="minorHAnsi" w:cstheme="minorHAnsi"/>
          <w:sz w:val="22"/>
          <w:szCs w:val="22"/>
        </w:rPr>
        <w:t>recruitment</w:t>
      </w:r>
      <w:r w:rsidR="00A3246F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3D6247" w:rsidRPr="00A3246F">
        <w:rPr>
          <w:rFonts w:asciiTheme="minorHAnsi" w:eastAsiaTheme="minorEastAsia" w:hAnsiTheme="minorHAnsi" w:cstheme="minorHAnsi"/>
          <w:sz w:val="22"/>
          <w:szCs w:val="22"/>
        </w:rPr>
        <w:t xml:space="preserve"> and retention of world-class talent, and 4) </w:t>
      </w:r>
      <w:r w:rsidRPr="00A3246F">
        <w:rPr>
          <w:rFonts w:asciiTheme="minorHAnsi" w:eastAsiaTheme="minorEastAsia" w:hAnsiTheme="minorHAnsi" w:cstheme="minorHAnsi"/>
          <w:sz w:val="22"/>
          <w:szCs w:val="22"/>
        </w:rPr>
        <w:t xml:space="preserve">national visibility and leadership for </w:t>
      </w:r>
      <w:r w:rsidR="001A6AF7" w:rsidRPr="00A3246F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Pr="00A3246F">
        <w:rPr>
          <w:rFonts w:asciiTheme="minorHAnsi" w:eastAsiaTheme="minorEastAsia" w:hAnsiTheme="minorHAnsi" w:cstheme="minorHAnsi"/>
          <w:sz w:val="22"/>
          <w:szCs w:val="22"/>
        </w:rPr>
        <w:t>State</w:t>
      </w:r>
      <w:r w:rsidR="001A6AF7" w:rsidRPr="00A3246F"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A3246F">
        <w:rPr>
          <w:rFonts w:asciiTheme="minorHAnsi" w:eastAsiaTheme="minorEastAsia" w:hAnsiTheme="minorHAnsi" w:cstheme="minorHAnsi"/>
          <w:sz w:val="22"/>
          <w:szCs w:val="22"/>
        </w:rPr>
        <w:t xml:space="preserve"> of Idaho</w:t>
      </w:r>
      <w:r w:rsidR="001A6AF7" w:rsidRPr="00FD2D32">
        <w:rPr>
          <w:rFonts w:asciiTheme="minorHAnsi" w:eastAsiaTheme="minorEastAsia" w:hAnsiTheme="minorHAnsi" w:cstheme="minorHAnsi"/>
          <w:sz w:val="22"/>
          <w:szCs w:val="22"/>
        </w:rPr>
        <w:t xml:space="preserve"> and Wyoming</w:t>
      </w:r>
      <w:r w:rsidRPr="00FD2D3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A6AF7" w:rsidRPr="00FD2D32">
        <w:rPr>
          <w:rFonts w:asciiTheme="minorHAnsi" w:eastAsiaTheme="minorEastAsia" w:hAnsiTheme="minorHAnsi" w:cstheme="minorHAnsi"/>
          <w:sz w:val="22"/>
          <w:szCs w:val="22"/>
        </w:rPr>
        <w:t xml:space="preserve">to lead the Intermountain West </w:t>
      </w:r>
      <w:r w:rsidRPr="00FD2D32">
        <w:rPr>
          <w:rFonts w:asciiTheme="minorHAnsi" w:eastAsiaTheme="minorEastAsia" w:hAnsiTheme="minorHAnsi" w:cstheme="minorHAnsi"/>
          <w:sz w:val="22"/>
          <w:szCs w:val="22"/>
        </w:rPr>
        <w:t xml:space="preserve">region in </w:t>
      </w:r>
      <w:r w:rsidR="007A3B2A" w:rsidRPr="00A3246F">
        <w:rPr>
          <w:rFonts w:asciiTheme="minorHAnsi" w:eastAsiaTheme="minorEastAsia" w:hAnsiTheme="minorHAnsi" w:cstheme="minorHAnsi"/>
          <w:sz w:val="22"/>
          <w:szCs w:val="22"/>
        </w:rPr>
        <w:t>pioneering</w:t>
      </w:r>
      <w:r w:rsidRPr="00A3246F">
        <w:rPr>
          <w:rFonts w:asciiTheme="minorHAnsi" w:eastAsiaTheme="minorEastAsia" w:hAnsiTheme="minorHAnsi" w:cstheme="minorHAnsi"/>
          <w:sz w:val="22"/>
          <w:szCs w:val="22"/>
        </w:rPr>
        <w:t>, cooperative energy R&amp;D, leading to workforce development</w:t>
      </w:r>
      <w:r w:rsidR="00A3246F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A3246F">
        <w:rPr>
          <w:rFonts w:asciiTheme="minorHAnsi" w:eastAsiaTheme="minorEastAsia" w:hAnsiTheme="minorHAnsi" w:cstheme="minorHAnsi"/>
          <w:sz w:val="22"/>
          <w:szCs w:val="22"/>
        </w:rPr>
        <w:t xml:space="preserve"> and economic growth.   </w:t>
      </w:r>
    </w:p>
    <w:p w14:paraId="78B0E586" w14:textId="77777777" w:rsidR="005113D1" w:rsidRPr="00A3246F" w:rsidRDefault="005113D1" w:rsidP="00FD2D32">
      <w:pPr>
        <w:spacing w:after="0" w:line="240" w:lineRule="auto"/>
        <w:ind w:left="720"/>
        <w:contextualSpacing/>
        <w:rPr>
          <w:rFonts w:eastAsiaTheme="minorEastAsia" w:cstheme="minorHAnsi"/>
        </w:rPr>
      </w:pPr>
    </w:p>
    <w:p w14:paraId="222AB01B" w14:textId="208E265A" w:rsidR="0022418A" w:rsidRPr="00A3246F" w:rsidRDefault="0022418A" w:rsidP="00FD2D32">
      <w:pPr>
        <w:spacing w:after="0" w:line="240" w:lineRule="auto"/>
        <w:contextualSpacing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CAES Principles</w:t>
      </w:r>
      <w:r w:rsidR="00A750F3" w:rsidRPr="00A3246F">
        <w:rPr>
          <w:rFonts w:eastAsiaTheme="minorEastAsia" w:cstheme="minorHAnsi"/>
        </w:rPr>
        <w:t>: Proposed for S</w:t>
      </w:r>
      <w:r w:rsidR="00A3246F">
        <w:rPr>
          <w:rFonts w:eastAsiaTheme="minorEastAsia" w:cstheme="minorHAnsi"/>
        </w:rPr>
        <w:t>teering Committee’s</w:t>
      </w:r>
      <w:r w:rsidR="00A750F3" w:rsidRPr="00A3246F">
        <w:rPr>
          <w:rFonts w:eastAsiaTheme="minorEastAsia" w:cstheme="minorHAnsi"/>
        </w:rPr>
        <w:t xml:space="preserve"> </w:t>
      </w:r>
      <w:r w:rsidR="00A3246F">
        <w:rPr>
          <w:rFonts w:eastAsiaTheme="minorEastAsia" w:cstheme="minorHAnsi"/>
        </w:rPr>
        <w:t xml:space="preserve">(SC) </w:t>
      </w:r>
      <w:r w:rsidR="001A6AF7" w:rsidRPr="00A3246F">
        <w:rPr>
          <w:rFonts w:eastAsiaTheme="minorEastAsia" w:cstheme="minorHAnsi"/>
        </w:rPr>
        <w:t>feedback</w:t>
      </w:r>
      <w:r w:rsidR="00A3246F">
        <w:rPr>
          <w:rFonts w:eastAsiaTheme="minorEastAsia" w:cstheme="minorHAnsi"/>
        </w:rPr>
        <w:t xml:space="preserve"> and </w:t>
      </w:r>
      <w:r w:rsidR="001A6AF7" w:rsidRPr="00A3246F">
        <w:rPr>
          <w:rFonts w:eastAsiaTheme="minorEastAsia" w:cstheme="minorHAnsi"/>
        </w:rPr>
        <w:t>a</w:t>
      </w:r>
      <w:r w:rsidR="00A750F3" w:rsidRPr="00A3246F">
        <w:rPr>
          <w:rFonts w:eastAsiaTheme="minorEastAsia" w:cstheme="minorHAnsi"/>
        </w:rPr>
        <w:t>pproval</w:t>
      </w:r>
      <w:r w:rsidR="00A3246F">
        <w:rPr>
          <w:rFonts w:eastAsiaTheme="minorEastAsia" w:cstheme="minorHAnsi"/>
        </w:rPr>
        <w:br/>
      </w:r>
    </w:p>
    <w:p w14:paraId="4B55E6D9" w14:textId="40EE5F51" w:rsidR="009604F0" w:rsidRPr="00A3246F" w:rsidRDefault="00C1368B" w:rsidP="00FD2D3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CAES</w:t>
      </w:r>
      <w:r w:rsidR="009604F0" w:rsidRPr="00A3246F">
        <w:rPr>
          <w:rFonts w:eastAsiaTheme="minorEastAsia" w:cstheme="minorHAnsi"/>
        </w:rPr>
        <w:t>’</w:t>
      </w:r>
      <w:r w:rsidRPr="00A3246F">
        <w:rPr>
          <w:rFonts w:eastAsiaTheme="minorEastAsia" w:cstheme="minorHAnsi"/>
        </w:rPr>
        <w:t xml:space="preserve"> foundation is built on</w:t>
      </w:r>
      <w:r w:rsidR="00CA2D4B">
        <w:rPr>
          <w:rFonts w:eastAsiaTheme="minorEastAsia" w:cstheme="minorHAnsi"/>
        </w:rPr>
        <w:t>:</w:t>
      </w:r>
    </w:p>
    <w:p w14:paraId="792F2F95" w14:textId="77777777" w:rsidR="009604F0" w:rsidRPr="00A3246F" w:rsidRDefault="009604F0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C</w:t>
      </w:r>
      <w:r w:rsidR="00C1368B" w:rsidRPr="00A3246F">
        <w:rPr>
          <w:rFonts w:eastAsiaTheme="minorEastAsia" w:cstheme="minorHAnsi"/>
        </w:rPr>
        <w:t>ollaboration</w:t>
      </w:r>
    </w:p>
    <w:p w14:paraId="558383B8" w14:textId="3C0CA4C4" w:rsidR="00C1368B" w:rsidRPr="00FD2D32" w:rsidRDefault="009604F0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Inclusion and Diversity</w:t>
      </w:r>
    </w:p>
    <w:p w14:paraId="7C7BBAC6" w14:textId="7F558BB5" w:rsidR="009604F0" w:rsidRPr="00A3246F" w:rsidRDefault="009604F0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Exploration and Discovery</w:t>
      </w:r>
    </w:p>
    <w:p w14:paraId="0FDDA81A" w14:textId="37F8CBD9" w:rsidR="009604F0" w:rsidRPr="00A3246F" w:rsidRDefault="009604F0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People and Impact</w:t>
      </w:r>
    </w:p>
    <w:p w14:paraId="5EB11AE6" w14:textId="62BA7355" w:rsidR="009604F0" w:rsidRPr="00A3246F" w:rsidRDefault="009604F0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Sustainability</w:t>
      </w:r>
      <w:r w:rsidR="00A3246F">
        <w:rPr>
          <w:rFonts w:eastAsiaTheme="minorEastAsia" w:cstheme="minorHAnsi"/>
        </w:rPr>
        <w:br/>
      </w:r>
    </w:p>
    <w:p w14:paraId="5AB2BF8B" w14:textId="3922A095" w:rsidR="00A750F3" w:rsidRPr="00A3246F" w:rsidRDefault="00A750F3" w:rsidP="00FD2D3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Governance structure should be as simple as possible to enable CAES to be effective</w:t>
      </w:r>
      <w:r w:rsidR="00A3246F">
        <w:rPr>
          <w:rFonts w:eastAsiaTheme="minorEastAsia" w:cstheme="minorHAnsi"/>
        </w:rPr>
        <w:t>.</w:t>
      </w:r>
      <w:r w:rsidR="00A3246F">
        <w:rPr>
          <w:rFonts w:eastAsiaTheme="minorEastAsia" w:cstheme="minorHAnsi"/>
        </w:rPr>
        <w:br/>
      </w:r>
    </w:p>
    <w:p w14:paraId="166B1921" w14:textId="77777777" w:rsidR="00A750F3" w:rsidRPr="00A3246F" w:rsidRDefault="00A750F3" w:rsidP="00FD2D3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Roles</w:t>
      </w:r>
    </w:p>
    <w:p w14:paraId="25AFD477" w14:textId="186BB558" w:rsidR="00A750F3" w:rsidRPr="00A3246F" w:rsidRDefault="00A750F3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>The SC should focus on strategy</w:t>
      </w:r>
      <w:r w:rsidR="009604F0" w:rsidRPr="00A3246F">
        <w:rPr>
          <w:rFonts w:eastAsiaTheme="minorEastAsia" w:cstheme="minorHAnsi"/>
        </w:rPr>
        <w:t>, building collaborative research,</w:t>
      </w:r>
      <w:r w:rsidRPr="00A3246F">
        <w:rPr>
          <w:rFonts w:eastAsiaTheme="minorEastAsia" w:cstheme="minorHAnsi"/>
        </w:rPr>
        <w:t xml:space="preserve"> and overarching issues, not </w:t>
      </w:r>
      <w:r w:rsidR="00E21531" w:rsidRPr="00A3246F">
        <w:rPr>
          <w:rFonts w:eastAsiaTheme="minorEastAsia" w:cstheme="minorHAnsi"/>
        </w:rPr>
        <w:t>every</w:t>
      </w:r>
      <w:r w:rsidR="00E21531">
        <w:rPr>
          <w:rFonts w:eastAsiaTheme="minorEastAsia" w:cstheme="minorHAnsi"/>
        </w:rPr>
        <w:t>day</w:t>
      </w:r>
      <w:r w:rsidRPr="00A3246F">
        <w:rPr>
          <w:rFonts w:eastAsiaTheme="minorEastAsia" w:cstheme="minorHAnsi"/>
        </w:rPr>
        <w:t xml:space="preserve"> operations</w:t>
      </w:r>
    </w:p>
    <w:p w14:paraId="6576AC06" w14:textId="470318E8" w:rsidR="00A750F3" w:rsidRPr="00774908" w:rsidRDefault="00A750F3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A3246F">
        <w:rPr>
          <w:rFonts w:eastAsiaTheme="minorEastAsia" w:cstheme="minorHAnsi"/>
        </w:rPr>
        <w:t xml:space="preserve">The Executive </w:t>
      </w:r>
      <w:r w:rsidR="00280E13" w:rsidRPr="00A3246F">
        <w:rPr>
          <w:rFonts w:eastAsiaTheme="minorEastAsia" w:cstheme="minorHAnsi"/>
        </w:rPr>
        <w:t>Board</w:t>
      </w:r>
      <w:r w:rsidRPr="00A3246F">
        <w:rPr>
          <w:rFonts w:eastAsiaTheme="minorEastAsia" w:cstheme="minorHAnsi"/>
        </w:rPr>
        <w:t xml:space="preserve"> (</w:t>
      </w:r>
      <w:r w:rsidR="00280E13" w:rsidRPr="00A3246F">
        <w:rPr>
          <w:rFonts w:eastAsiaTheme="minorEastAsia" w:cstheme="minorHAnsi"/>
        </w:rPr>
        <w:t>EB</w:t>
      </w:r>
      <w:r w:rsidRPr="002C1DB3">
        <w:rPr>
          <w:rFonts w:eastAsiaTheme="minorEastAsia" w:cstheme="minorHAnsi"/>
        </w:rPr>
        <w:t xml:space="preserve">) should focus on </w:t>
      </w:r>
      <w:r w:rsidR="00A3246F">
        <w:rPr>
          <w:rFonts w:eastAsiaTheme="minorEastAsia" w:cstheme="minorHAnsi"/>
        </w:rPr>
        <w:t xml:space="preserve">the </w:t>
      </w:r>
      <w:r w:rsidRPr="002C1DB3">
        <w:rPr>
          <w:rFonts w:eastAsiaTheme="minorEastAsia" w:cstheme="minorHAnsi"/>
        </w:rPr>
        <w:t>implementation of the Strategic Plan</w:t>
      </w:r>
      <w:r w:rsidR="001B350E" w:rsidRPr="00774908">
        <w:rPr>
          <w:rFonts w:eastAsiaTheme="minorEastAsia" w:cstheme="minorHAnsi"/>
        </w:rPr>
        <w:t>.</w:t>
      </w:r>
    </w:p>
    <w:p w14:paraId="14B2575F" w14:textId="77777777" w:rsidR="00280E13" w:rsidRPr="00FD2D32" w:rsidRDefault="00280E13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>The roles of the SC, EB, and CAES Director are outlined in the Consortium Agreement.</w:t>
      </w:r>
    </w:p>
    <w:p w14:paraId="18CE8E49" w14:textId="6E4120A2" w:rsidR="001B350E" w:rsidRPr="00FD2D32" w:rsidRDefault="001B350E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>Decision making: The E</w:t>
      </w:r>
      <w:r w:rsidR="00280E13" w:rsidRPr="00FD2D32">
        <w:rPr>
          <w:rFonts w:eastAsiaTheme="minorEastAsia" w:cstheme="minorHAnsi"/>
        </w:rPr>
        <w:t xml:space="preserve">B </w:t>
      </w:r>
      <w:r w:rsidRPr="00FD2D32">
        <w:rPr>
          <w:rFonts w:eastAsiaTheme="minorEastAsia" w:cstheme="minorHAnsi"/>
        </w:rPr>
        <w:t>should make decisions by consensus. If the E</w:t>
      </w:r>
      <w:r w:rsidR="00280E13" w:rsidRPr="00FD2D32">
        <w:rPr>
          <w:rFonts w:eastAsiaTheme="minorEastAsia" w:cstheme="minorHAnsi"/>
        </w:rPr>
        <w:t>B</w:t>
      </w:r>
      <w:r w:rsidRPr="00FD2D32">
        <w:rPr>
          <w:rFonts w:eastAsiaTheme="minorEastAsia" w:cstheme="minorHAnsi"/>
        </w:rPr>
        <w:t xml:space="preserve"> cannot come to </w:t>
      </w:r>
      <w:r w:rsidR="00A3246F">
        <w:rPr>
          <w:rFonts w:eastAsiaTheme="minorEastAsia" w:cstheme="minorHAnsi"/>
        </w:rPr>
        <w:t xml:space="preserve">a </w:t>
      </w:r>
      <w:r w:rsidRPr="002C1DB3">
        <w:rPr>
          <w:rFonts w:eastAsiaTheme="minorEastAsia" w:cstheme="minorHAnsi"/>
        </w:rPr>
        <w:t xml:space="preserve">consensus, the SC may be consulted if the issue is of appropriate importance. </w:t>
      </w:r>
      <w:r w:rsidR="00280E13" w:rsidRPr="00774908">
        <w:rPr>
          <w:rFonts w:eastAsiaTheme="minorEastAsia" w:cstheme="minorHAnsi"/>
        </w:rPr>
        <w:t>The SC should also make decisions through a consensus approach.</w:t>
      </w:r>
      <w:r w:rsidR="00E21531">
        <w:rPr>
          <w:rFonts w:eastAsiaTheme="minorEastAsia" w:cstheme="minorHAnsi"/>
        </w:rPr>
        <w:br/>
      </w:r>
    </w:p>
    <w:p w14:paraId="473557E4" w14:textId="77777777" w:rsidR="00A750F3" w:rsidRPr="00FD2D32" w:rsidRDefault="00A750F3" w:rsidP="00FD2D3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>Operations</w:t>
      </w:r>
    </w:p>
    <w:p w14:paraId="6479A9B5" w14:textId="25BCB342" w:rsidR="00A750F3" w:rsidRPr="00774908" w:rsidRDefault="00A750F3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 xml:space="preserve">Operations support the CAES mission and strategy. </w:t>
      </w:r>
      <w:r w:rsidR="001A6AF7" w:rsidRPr="00FD2D32">
        <w:rPr>
          <w:rFonts w:eastAsiaTheme="minorEastAsia" w:cstheme="minorHAnsi"/>
        </w:rPr>
        <w:t>Operations personnel should develop solutions that support strategic plan implementation while managing risk</w:t>
      </w:r>
      <w:r w:rsidR="00A3246F">
        <w:rPr>
          <w:rFonts w:eastAsiaTheme="minorEastAsia" w:cstheme="minorHAnsi"/>
        </w:rPr>
        <w:t>s</w:t>
      </w:r>
      <w:r w:rsidR="001A6AF7" w:rsidRPr="002C1DB3">
        <w:rPr>
          <w:rFonts w:eastAsiaTheme="minorEastAsia" w:cstheme="minorHAnsi"/>
        </w:rPr>
        <w:t xml:space="preserve"> appropriately.  </w:t>
      </w:r>
      <w:r w:rsidR="001B350E" w:rsidRPr="00774908">
        <w:rPr>
          <w:rFonts w:eastAsiaTheme="minorEastAsia" w:cstheme="minorHAnsi"/>
        </w:rPr>
        <w:t xml:space="preserve"> </w:t>
      </w:r>
    </w:p>
    <w:p w14:paraId="2A706377" w14:textId="77777777" w:rsidR="001B350E" w:rsidRPr="00FD2D32" w:rsidRDefault="00A750F3" w:rsidP="00827027">
      <w:pPr>
        <w:pStyle w:val="ListParagraph"/>
        <w:numPr>
          <w:ilvl w:val="1"/>
          <w:numId w:val="2"/>
        </w:numPr>
        <w:spacing w:after="0" w:line="240" w:lineRule="auto"/>
        <w:ind w:left="1260" w:right="-450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>Access to the CAES building should be as open as possible while maintaining safety and security</w:t>
      </w:r>
      <w:r w:rsidR="001B350E" w:rsidRPr="00FD2D32">
        <w:rPr>
          <w:rFonts w:eastAsiaTheme="minorEastAsia" w:cstheme="minorHAnsi"/>
        </w:rPr>
        <w:t>.</w:t>
      </w:r>
    </w:p>
    <w:p w14:paraId="34A4967C" w14:textId="5335AEB6" w:rsidR="00280E13" w:rsidRPr="00FD2D32" w:rsidRDefault="00280E13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eastAsiaTheme="minorEastAsia" w:cstheme="minorHAnsi"/>
        </w:rPr>
      </w:pPr>
      <w:r w:rsidRPr="00FD2D32">
        <w:rPr>
          <w:rFonts w:eastAsiaTheme="minorEastAsia" w:cstheme="minorHAnsi"/>
        </w:rPr>
        <w:t xml:space="preserve">Specifics authorities for operations of the CAES building depends on the particulars of the lease agreement. If the lease agreement </w:t>
      </w:r>
      <w:r w:rsidR="001A6AF7" w:rsidRPr="00FD2D32">
        <w:rPr>
          <w:rFonts w:eastAsiaTheme="minorEastAsia" w:cstheme="minorHAnsi"/>
        </w:rPr>
        <w:t>changes</w:t>
      </w:r>
      <w:r w:rsidRPr="00FD2D32">
        <w:rPr>
          <w:rFonts w:eastAsiaTheme="minorEastAsia" w:cstheme="minorHAnsi"/>
        </w:rPr>
        <w:t>, the operational authorities for the building will be adjusted accordingly.</w:t>
      </w:r>
    </w:p>
    <w:p w14:paraId="292DED1D" w14:textId="73A8A317" w:rsidR="00436888" w:rsidRPr="00FD2D32" w:rsidRDefault="001B350E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cstheme="minorHAnsi"/>
        </w:rPr>
      </w:pPr>
      <w:r w:rsidRPr="00FD2D32">
        <w:rPr>
          <w:rFonts w:eastAsiaTheme="minorEastAsia" w:cstheme="minorHAnsi"/>
        </w:rPr>
        <w:t>Laboratory space: The goal is to have lab</w:t>
      </w:r>
      <w:r w:rsidR="00A3246F">
        <w:rPr>
          <w:rFonts w:eastAsiaTheme="minorEastAsia" w:cstheme="minorHAnsi"/>
        </w:rPr>
        <w:t>oratory</w:t>
      </w:r>
      <w:r w:rsidRPr="002C1DB3">
        <w:rPr>
          <w:rFonts w:eastAsiaTheme="minorEastAsia" w:cstheme="minorHAnsi"/>
        </w:rPr>
        <w:t xml:space="preserve"> spaces that support collaborative research </w:t>
      </w:r>
      <w:r w:rsidR="009604F0" w:rsidRPr="00A3246F">
        <w:rPr>
          <w:rFonts w:eastAsiaTheme="minorEastAsia" w:cstheme="minorHAnsi"/>
        </w:rPr>
        <w:t xml:space="preserve">projects </w:t>
      </w:r>
      <w:r w:rsidR="001A6AF7" w:rsidRPr="00A3246F">
        <w:rPr>
          <w:rFonts w:eastAsiaTheme="minorEastAsia" w:cstheme="minorHAnsi"/>
        </w:rPr>
        <w:t>involving</w:t>
      </w:r>
      <w:r w:rsidRPr="00A3246F">
        <w:rPr>
          <w:rFonts w:eastAsiaTheme="minorEastAsia" w:cstheme="minorHAnsi"/>
        </w:rPr>
        <w:t xml:space="preserve"> at least </w:t>
      </w:r>
      <w:r w:rsidR="00A3246F">
        <w:rPr>
          <w:rFonts w:eastAsiaTheme="minorEastAsia" w:cstheme="minorHAnsi"/>
        </w:rPr>
        <w:t>two</w:t>
      </w:r>
      <w:r w:rsidRPr="00A3246F">
        <w:rPr>
          <w:rFonts w:eastAsiaTheme="minorEastAsia" w:cstheme="minorHAnsi"/>
        </w:rPr>
        <w:t xml:space="preserve"> CAES institutions. Initial repopulation of the CAES building (2020) may not be able to achieve the goal in all cases</w:t>
      </w:r>
      <w:r w:rsidR="00A3246F">
        <w:rPr>
          <w:rFonts w:eastAsiaTheme="minorEastAsia" w:cstheme="minorHAnsi"/>
        </w:rPr>
        <w:t xml:space="preserve">; </w:t>
      </w:r>
      <w:r w:rsidRPr="00A3246F">
        <w:rPr>
          <w:rFonts w:eastAsiaTheme="minorEastAsia" w:cstheme="minorHAnsi"/>
        </w:rPr>
        <w:t>however</w:t>
      </w:r>
      <w:r w:rsidR="00A3246F">
        <w:rPr>
          <w:rFonts w:eastAsiaTheme="minorEastAsia" w:cstheme="minorHAnsi"/>
        </w:rPr>
        <w:t>,</w:t>
      </w:r>
      <w:r w:rsidRPr="00A3246F">
        <w:rPr>
          <w:rFonts w:eastAsiaTheme="minorEastAsia" w:cstheme="minorHAnsi"/>
        </w:rPr>
        <w:t xml:space="preserve"> </w:t>
      </w:r>
      <w:r w:rsidR="001A6AF7" w:rsidRPr="00A3246F">
        <w:rPr>
          <w:rFonts w:eastAsiaTheme="minorEastAsia" w:cstheme="minorHAnsi"/>
        </w:rPr>
        <w:t xml:space="preserve">longer-term </w:t>
      </w:r>
      <w:r w:rsidRPr="00A3246F">
        <w:rPr>
          <w:rFonts w:eastAsiaTheme="minorEastAsia" w:cstheme="minorHAnsi"/>
        </w:rPr>
        <w:t>future allocation of laboratory space will not support single-investigator activities.  Existing tenants who are not conducting collaborative research may be moved out of laboratory space if there is need for space for a collaborative effort: collaborative</w:t>
      </w:r>
      <w:r w:rsidRPr="002C1DB3">
        <w:rPr>
          <w:rFonts w:eastAsiaTheme="minorEastAsia" w:cstheme="minorHAnsi"/>
        </w:rPr>
        <w:t xml:space="preserve"> research has priority. </w:t>
      </w:r>
      <w:r w:rsidRPr="00774908">
        <w:rPr>
          <w:rFonts w:eastAsiaTheme="minorEastAsia" w:cstheme="minorHAnsi"/>
        </w:rPr>
        <w:t>The E</w:t>
      </w:r>
      <w:r w:rsidR="00280E13" w:rsidRPr="00FD2D32">
        <w:rPr>
          <w:rFonts w:eastAsiaTheme="minorEastAsia" w:cstheme="minorHAnsi"/>
        </w:rPr>
        <w:t>B</w:t>
      </w:r>
      <w:r w:rsidRPr="00FD2D32">
        <w:rPr>
          <w:rFonts w:eastAsiaTheme="minorEastAsia" w:cstheme="minorHAnsi"/>
        </w:rPr>
        <w:t xml:space="preserve"> is </w:t>
      </w:r>
      <w:r w:rsidR="00280E13" w:rsidRPr="00FD2D32">
        <w:rPr>
          <w:rFonts w:eastAsiaTheme="minorEastAsia" w:cstheme="minorHAnsi"/>
        </w:rPr>
        <w:t>responsible for</w:t>
      </w:r>
      <w:r w:rsidRPr="00FD2D32">
        <w:rPr>
          <w:rFonts w:eastAsiaTheme="minorEastAsia" w:cstheme="minorHAnsi"/>
        </w:rPr>
        <w:t xml:space="preserve"> allocating laboratory space.</w:t>
      </w:r>
    </w:p>
    <w:p w14:paraId="61EE31BF" w14:textId="77777777" w:rsidR="001B350E" w:rsidRPr="00FD2D32" w:rsidRDefault="001B350E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cstheme="minorHAnsi"/>
        </w:rPr>
      </w:pPr>
      <w:r w:rsidRPr="00FD2D32">
        <w:rPr>
          <w:rFonts w:eastAsiaTheme="minorEastAsia" w:cstheme="minorHAnsi"/>
        </w:rPr>
        <w:t>Use of government assets (e.g. INL equipment) is allowed and encouraged, recognizing that such use involves non-negotiable government requirements.</w:t>
      </w:r>
    </w:p>
    <w:p w14:paraId="09F75FC8" w14:textId="7D20C876" w:rsidR="001B350E" w:rsidRPr="003D6247" w:rsidRDefault="001B350E" w:rsidP="00FD2D32">
      <w:pPr>
        <w:pStyle w:val="ListParagraph"/>
        <w:numPr>
          <w:ilvl w:val="1"/>
          <w:numId w:val="2"/>
        </w:numPr>
        <w:spacing w:after="0" w:line="240" w:lineRule="auto"/>
        <w:ind w:left="1260"/>
        <w:rPr>
          <w:rFonts w:cstheme="minorHAnsi"/>
        </w:rPr>
      </w:pPr>
      <w:r w:rsidRPr="00FD2D32">
        <w:rPr>
          <w:rFonts w:eastAsiaTheme="minorEastAsia" w:cstheme="minorHAnsi"/>
        </w:rPr>
        <w:t xml:space="preserve">Finances should be transparent </w:t>
      </w:r>
      <w:r w:rsidR="009604F0" w:rsidRPr="00CA2D4B">
        <w:rPr>
          <w:rFonts w:eastAsiaTheme="minorEastAsia" w:cstheme="minorHAnsi"/>
        </w:rPr>
        <w:t xml:space="preserve">and aligned </w:t>
      </w:r>
      <w:r w:rsidRPr="00CA2D4B">
        <w:rPr>
          <w:rFonts w:eastAsiaTheme="minorEastAsia" w:cstheme="minorHAnsi"/>
        </w:rPr>
        <w:t>among the entities</w:t>
      </w:r>
      <w:r w:rsidR="009604F0" w:rsidRPr="00CA2D4B">
        <w:rPr>
          <w:rFonts w:eastAsiaTheme="minorEastAsia" w:cstheme="minorHAnsi"/>
        </w:rPr>
        <w:t xml:space="preserve"> in support of the strategy</w:t>
      </w:r>
      <w:r w:rsidR="00280E13" w:rsidRPr="00CA2D4B">
        <w:rPr>
          <w:rFonts w:eastAsiaTheme="minorEastAsia" w:cstheme="minorHAnsi"/>
        </w:rPr>
        <w:t>.</w:t>
      </w:r>
    </w:p>
    <w:sectPr w:rsidR="001B350E" w:rsidRPr="003D6247" w:rsidSect="0082702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0EF"/>
    <w:multiLevelType w:val="hybridMultilevel"/>
    <w:tmpl w:val="02D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48E"/>
    <w:multiLevelType w:val="hybridMultilevel"/>
    <w:tmpl w:val="670CD3E2"/>
    <w:lvl w:ilvl="0" w:tplc="FE58F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2C9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A64AC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BABC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E668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E6D2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D8A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95895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18C83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98F49B9"/>
    <w:multiLevelType w:val="hybridMultilevel"/>
    <w:tmpl w:val="BF4C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A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0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28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A2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C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E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69"/>
    <w:rsid w:val="00076E02"/>
    <w:rsid w:val="000B4720"/>
    <w:rsid w:val="00142570"/>
    <w:rsid w:val="001A6AF7"/>
    <w:rsid w:val="001B350E"/>
    <w:rsid w:val="0022418A"/>
    <w:rsid w:val="00280E13"/>
    <w:rsid w:val="0028107F"/>
    <w:rsid w:val="002C1DB3"/>
    <w:rsid w:val="003D6247"/>
    <w:rsid w:val="003E3B5C"/>
    <w:rsid w:val="00436888"/>
    <w:rsid w:val="005113D1"/>
    <w:rsid w:val="00584267"/>
    <w:rsid w:val="00601669"/>
    <w:rsid w:val="00774908"/>
    <w:rsid w:val="007A3B2A"/>
    <w:rsid w:val="007F1F76"/>
    <w:rsid w:val="00827027"/>
    <w:rsid w:val="009604F0"/>
    <w:rsid w:val="009644B8"/>
    <w:rsid w:val="00A3246F"/>
    <w:rsid w:val="00A750F3"/>
    <w:rsid w:val="00AE49AB"/>
    <w:rsid w:val="00AF28CF"/>
    <w:rsid w:val="00B00CB6"/>
    <w:rsid w:val="00BB6CFF"/>
    <w:rsid w:val="00BF2675"/>
    <w:rsid w:val="00C1368B"/>
    <w:rsid w:val="00CA2D4B"/>
    <w:rsid w:val="00E21531"/>
    <w:rsid w:val="00E241E0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8F22"/>
  <w15:chartTrackingRefBased/>
  <w15:docId w15:val="{33C902DE-28FF-4F7F-AF6B-A1B8558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4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33271C-8534-4F79-9F51-3A6C210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C. Walck</dc:creator>
  <cp:keywords/>
  <dc:description/>
  <cp:lastModifiedBy>Michelle R. Rutledge</cp:lastModifiedBy>
  <cp:revision>4</cp:revision>
  <cp:lastPrinted>2020-01-10T15:31:00Z</cp:lastPrinted>
  <dcterms:created xsi:type="dcterms:W3CDTF">2020-02-12T00:09:00Z</dcterms:created>
  <dcterms:modified xsi:type="dcterms:W3CDTF">2020-02-12T13:54:00Z</dcterms:modified>
</cp:coreProperties>
</file>