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492761028"/>
        <w:docPartObj>
          <w:docPartGallery w:val="Cover Pages"/>
          <w:docPartUnique/>
        </w:docPartObj>
      </w:sdtPr>
      <w:sdtEndPr/>
      <w:sdtContent>
        <w:p w14:paraId="0AC3F794" w14:textId="77777777" w:rsidR="00DA60FC" w:rsidRDefault="00DA60FC"/>
        <w:p w14:paraId="0CA51C1D" w14:textId="77777777" w:rsidR="00DA60FC" w:rsidRDefault="00DA60FC"/>
        <w:p w14:paraId="32637996" w14:textId="77777777" w:rsidR="00DA60FC" w:rsidRDefault="00DA60FC"/>
        <w:p w14:paraId="7B82E2CF" w14:textId="77777777" w:rsidR="00DA60FC" w:rsidRDefault="00DA60FC"/>
        <w:p w14:paraId="39871A69" w14:textId="77777777" w:rsidR="00DA60FC" w:rsidRDefault="00DA60FC"/>
        <w:p w14:paraId="7FEFD7A0" w14:textId="77777777" w:rsidR="00DA60FC" w:rsidRDefault="00DA60FC"/>
        <w:p w14:paraId="5F6A8ED2" w14:textId="77777777" w:rsidR="00DA60FC" w:rsidRDefault="00DA60FC"/>
        <w:p w14:paraId="17441B3D" w14:textId="77777777" w:rsidR="00DA60FC" w:rsidRDefault="00DA60FC"/>
        <w:p w14:paraId="636355FF" w14:textId="77777777" w:rsidR="00DA60FC" w:rsidRDefault="00DA60FC"/>
        <w:p w14:paraId="5AA548AC" w14:textId="77777777" w:rsidR="00DA60FC" w:rsidRDefault="00DA60FC"/>
        <w:p w14:paraId="20081038" w14:textId="77777777" w:rsidR="00DA60FC" w:rsidRDefault="00DA60FC"/>
        <w:p w14:paraId="2186055F" w14:textId="77777777" w:rsidR="00DA60FC" w:rsidRDefault="00DA60FC"/>
        <w:p w14:paraId="786E99BD" w14:textId="1C167348" w:rsidR="00842DAE" w:rsidRDefault="00DA60FC"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4C886B46" wp14:editId="371D3BF7">
                <wp:simplePos x="0" y="0"/>
                <wp:positionH relativeFrom="column">
                  <wp:posOffset>1645920</wp:posOffset>
                </wp:positionH>
                <wp:positionV relativeFrom="paragraph">
                  <wp:posOffset>204198</wp:posOffset>
                </wp:positionV>
                <wp:extent cx="4889863" cy="3461563"/>
                <wp:effectExtent l="0" t="0" r="6350" b="5715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forecast-crystal-ball-prediction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9863" cy="34615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842DAE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29F20F7A" wp14:editId="464872D8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Grou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Year"/>
                                    <w:id w:val="10123410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9-02-28T00:00:00Z"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560ADDA4" w14:textId="225C8F54" w:rsidR="00842DAE" w:rsidRDefault="00842DAE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2019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hor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F5FB856" w14:textId="166D3021" w:rsidR="00842DAE" w:rsidRDefault="00842DAE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Institutional Effectiveness and Accreditation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Company"/>
                                    <w:id w:val="1760174317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162FC4BD" w14:textId="18557AB7" w:rsidR="00842DAE" w:rsidRDefault="00842DAE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University of Idaho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e"/>
                                    <w:id w:val="17244804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9-02-28T00:00:00Z"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419B4620" w14:textId="407FE0A1" w:rsidR="00842DAE" w:rsidRDefault="00842DAE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2/28/2019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29F20F7A" id="Group 453" o:spid="_x0000_s1026" style="position:absolute;margin-left:193.95pt;margin-top:0;width:245.15pt;height:11in;z-index:251662336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">
                    <v:rect id="Rectangle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" fillcolor="#a8d08d [1945]" stroked="f" strokecolor="white" strokeweight="1pt">
                      <v:fill r:id="rId11" o:title="" opacity="52428f" color2="white [3212]" o:opacity2="52428f" type="pattern"/>
                      <v:shadow color="#d8d8d8" offset="3pt,3pt"/>
                    </v:rect>
                    <v:rect id="Rectangle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a8d08d [1945]" stroked="f" strokecolor="#d8d8d8"/>
                    <v:rect id="Rectangle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Year"/>
                              <w:id w:val="10123410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9-02-28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60ADDA4" w14:textId="225C8F54" w:rsidR="00842DAE" w:rsidRDefault="00842DAE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2019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hor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7F5FB856" w14:textId="166D3021" w:rsidR="00842DAE" w:rsidRDefault="00842DAE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Institutional Effectiveness and Accreditation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Company"/>
                              <w:id w:val="1760174317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162FC4BD" w14:textId="18557AB7" w:rsidR="00842DAE" w:rsidRDefault="00842DAE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University of Idaho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e"/>
                              <w:id w:val="17244804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9-02-28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19B4620" w14:textId="407FE0A1" w:rsidR="00842DAE" w:rsidRDefault="00842DAE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2/28/2019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 w:rsidR="00842DA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646A92CC" wp14:editId="678E7D24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DC037DC" w14:textId="1382FA01" w:rsidR="00842DAE" w:rsidRDefault="00C166CE" w:rsidP="00C166CE">
                                    <w:pPr>
                                      <w:pStyle w:val="NoSpacing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Refinement of a Predictive Model for Progression Risk for Undergraduate Students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646A92CC" id="Rectangle 16" o:spid="_x0000_s1031" style="position:absolute;margin-left:0;margin-top:0;width:548.85pt;height:50.4pt;z-index:251664384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DC037DC" w14:textId="1382FA01" w:rsidR="00842DAE" w:rsidRDefault="00C166CE" w:rsidP="00C166CE">
                              <w:pPr>
                                <w:pStyle w:val="NoSpacing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Refinement of a Predictive Model for Progression Risk for Undergraduate Students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sdtContent>
    </w:sdt>
    <w:p w14:paraId="4D7BB7AE" w14:textId="4B0F13A8" w:rsidR="00842DAE" w:rsidRDefault="009C17C1">
      <w:r>
        <w:t xml:space="preserve"> </w:t>
      </w:r>
      <w:r w:rsidR="00842DAE"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01426500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EB4849D" w14:textId="43A820FF" w:rsidR="00842DAE" w:rsidRDefault="00842DAE" w:rsidP="00842DAE">
          <w:pPr>
            <w:pStyle w:val="TOCHeading"/>
            <w:jc w:val="center"/>
          </w:pPr>
          <w:r>
            <w:t>Contents</w:t>
          </w:r>
        </w:p>
        <w:p w14:paraId="2406A863" w14:textId="77777777" w:rsidR="00842DAE" w:rsidRPr="00842DAE" w:rsidRDefault="00842DAE" w:rsidP="00842DAE"/>
        <w:p w14:paraId="31C3C49A" w14:textId="59E418B4" w:rsidR="00C166CE" w:rsidRDefault="00842DAE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2259601" w:history="1">
            <w:r w:rsidR="00C166CE" w:rsidRPr="00AC5BC9">
              <w:rPr>
                <w:rStyle w:val="Hyperlink"/>
                <w:noProof/>
              </w:rPr>
              <w:t>Reexamination of Spring to Fall Progression</w:t>
            </w:r>
            <w:r w:rsidR="00C166CE">
              <w:rPr>
                <w:noProof/>
                <w:webHidden/>
              </w:rPr>
              <w:tab/>
            </w:r>
            <w:r w:rsidR="00C166CE">
              <w:rPr>
                <w:noProof/>
                <w:webHidden/>
              </w:rPr>
              <w:fldChar w:fldCharType="begin"/>
            </w:r>
            <w:r w:rsidR="00C166CE">
              <w:rPr>
                <w:noProof/>
                <w:webHidden/>
              </w:rPr>
              <w:instrText xml:space="preserve"> PAGEREF _Toc2259601 \h </w:instrText>
            </w:r>
            <w:r w:rsidR="00C166CE">
              <w:rPr>
                <w:noProof/>
                <w:webHidden/>
              </w:rPr>
            </w:r>
            <w:r w:rsidR="00C166CE">
              <w:rPr>
                <w:noProof/>
                <w:webHidden/>
              </w:rPr>
              <w:fldChar w:fldCharType="separate"/>
            </w:r>
            <w:r w:rsidR="00C166CE">
              <w:rPr>
                <w:noProof/>
                <w:webHidden/>
              </w:rPr>
              <w:t>2</w:t>
            </w:r>
            <w:r w:rsidR="00C166CE">
              <w:rPr>
                <w:noProof/>
                <w:webHidden/>
              </w:rPr>
              <w:fldChar w:fldCharType="end"/>
            </w:r>
          </w:hyperlink>
        </w:p>
        <w:p w14:paraId="3E5A1AF7" w14:textId="502F5266" w:rsidR="00C166CE" w:rsidRDefault="00EF19F5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2259602" w:history="1">
            <w:r w:rsidR="00C166CE" w:rsidRPr="00AC5BC9">
              <w:rPr>
                <w:rStyle w:val="Hyperlink"/>
                <w:noProof/>
              </w:rPr>
              <w:t>Executive Summary</w:t>
            </w:r>
            <w:r w:rsidR="00C166CE">
              <w:rPr>
                <w:noProof/>
                <w:webHidden/>
              </w:rPr>
              <w:tab/>
            </w:r>
            <w:r w:rsidR="00C166CE">
              <w:rPr>
                <w:noProof/>
                <w:webHidden/>
              </w:rPr>
              <w:fldChar w:fldCharType="begin"/>
            </w:r>
            <w:r w:rsidR="00C166CE">
              <w:rPr>
                <w:noProof/>
                <w:webHidden/>
              </w:rPr>
              <w:instrText xml:space="preserve"> PAGEREF _Toc2259602 \h </w:instrText>
            </w:r>
            <w:r w:rsidR="00C166CE">
              <w:rPr>
                <w:noProof/>
                <w:webHidden/>
              </w:rPr>
            </w:r>
            <w:r w:rsidR="00C166CE">
              <w:rPr>
                <w:noProof/>
                <w:webHidden/>
              </w:rPr>
              <w:fldChar w:fldCharType="separate"/>
            </w:r>
            <w:r w:rsidR="00C166CE">
              <w:rPr>
                <w:noProof/>
                <w:webHidden/>
              </w:rPr>
              <w:t>2</w:t>
            </w:r>
            <w:r w:rsidR="00C166CE">
              <w:rPr>
                <w:noProof/>
                <w:webHidden/>
              </w:rPr>
              <w:fldChar w:fldCharType="end"/>
            </w:r>
          </w:hyperlink>
        </w:p>
        <w:p w14:paraId="21C95976" w14:textId="69A8C873" w:rsidR="00C166CE" w:rsidRDefault="00EF19F5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2259603" w:history="1">
            <w:r w:rsidR="00C166CE" w:rsidRPr="00AC5BC9">
              <w:rPr>
                <w:rStyle w:val="Hyperlink"/>
                <w:noProof/>
              </w:rPr>
              <w:t>Theoretical Framework</w:t>
            </w:r>
            <w:r w:rsidR="00C166CE">
              <w:rPr>
                <w:noProof/>
                <w:webHidden/>
              </w:rPr>
              <w:tab/>
            </w:r>
            <w:r w:rsidR="00C166CE">
              <w:rPr>
                <w:noProof/>
                <w:webHidden/>
              </w:rPr>
              <w:fldChar w:fldCharType="begin"/>
            </w:r>
            <w:r w:rsidR="00C166CE">
              <w:rPr>
                <w:noProof/>
                <w:webHidden/>
              </w:rPr>
              <w:instrText xml:space="preserve"> PAGEREF _Toc2259603 \h </w:instrText>
            </w:r>
            <w:r w:rsidR="00C166CE">
              <w:rPr>
                <w:noProof/>
                <w:webHidden/>
              </w:rPr>
            </w:r>
            <w:r w:rsidR="00C166CE">
              <w:rPr>
                <w:noProof/>
                <w:webHidden/>
              </w:rPr>
              <w:fldChar w:fldCharType="separate"/>
            </w:r>
            <w:r w:rsidR="00C166CE">
              <w:rPr>
                <w:noProof/>
                <w:webHidden/>
              </w:rPr>
              <w:t>3</w:t>
            </w:r>
            <w:r w:rsidR="00C166CE">
              <w:rPr>
                <w:noProof/>
                <w:webHidden/>
              </w:rPr>
              <w:fldChar w:fldCharType="end"/>
            </w:r>
          </w:hyperlink>
        </w:p>
        <w:p w14:paraId="4479D4A4" w14:textId="18925AAD" w:rsidR="00C166CE" w:rsidRDefault="00EF19F5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2259604" w:history="1">
            <w:r w:rsidR="00C166CE" w:rsidRPr="00AC5BC9">
              <w:rPr>
                <w:rStyle w:val="Hyperlink"/>
                <w:noProof/>
              </w:rPr>
              <w:t>Phase 1: Forensic Model:</w:t>
            </w:r>
            <w:r w:rsidR="00C166CE">
              <w:rPr>
                <w:noProof/>
                <w:webHidden/>
              </w:rPr>
              <w:tab/>
            </w:r>
            <w:r w:rsidR="00C166CE">
              <w:rPr>
                <w:noProof/>
                <w:webHidden/>
              </w:rPr>
              <w:fldChar w:fldCharType="begin"/>
            </w:r>
            <w:r w:rsidR="00C166CE">
              <w:rPr>
                <w:noProof/>
                <w:webHidden/>
              </w:rPr>
              <w:instrText xml:space="preserve"> PAGEREF _Toc2259604 \h </w:instrText>
            </w:r>
            <w:r w:rsidR="00C166CE">
              <w:rPr>
                <w:noProof/>
                <w:webHidden/>
              </w:rPr>
            </w:r>
            <w:r w:rsidR="00C166CE">
              <w:rPr>
                <w:noProof/>
                <w:webHidden/>
              </w:rPr>
              <w:fldChar w:fldCharType="separate"/>
            </w:r>
            <w:r w:rsidR="00C166CE">
              <w:rPr>
                <w:noProof/>
                <w:webHidden/>
              </w:rPr>
              <w:t>4</w:t>
            </w:r>
            <w:r w:rsidR="00C166CE">
              <w:rPr>
                <w:noProof/>
                <w:webHidden/>
              </w:rPr>
              <w:fldChar w:fldCharType="end"/>
            </w:r>
          </w:hyperlink>
        </w:p>
        <w:p w14:paraId="10DF6A14" w14:textId="777D1A8F" w:rsidR="00C166CE" w:rsidRDefault="00EF19F5">
          <w:pPr>
            <w:pStyle w:val="TOC3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2259605" w:history="1">
            <w:r w:rsidR="00C166CE" w:rsidRPr="00AC5BC9">
              <w:rPr>
                <w:rStyle w:val="Hyperlink"/>
                <w:noProof/>
              </w:rPr>
              <w:t>Background</w:t>
            </w:r>
            <w:r w:rsidR="00C166CE">
              <w:rPr>
                <w:noProof/>
                <w:webHidden/>
              </w:rPr>
              <w:tab/>
            </w:r>
            <w:r w:rsidR="00C166CE">
              <w:rPr>
                <w:noProof/>
                <w:webHidden/>
              </w:rPr>
              <w:fldChar w:fldCharType="begin"/>
            </w:r>
            <w:r w:rsidR="00C166CE">
              <w:rPr>
                <w:noProof/>
                <w:webHidden/>
              </w:rPr>
              <w:instrText xml:space="preserve"> PAGEREF _Toc2259605 \h </w:instrText>
            </w:r>
            <w:r w:rsidR="00C166CE">
              <w:rPr>
                <w:noProof/>
                <w:webHidden/>
              </w:rPr>
            </w:r>
            <w:r w:rsidR="00C166CE">
              <w:rPr>
                <w:noProof/>
                <w:webHidden/>
              </w:rPr>
              <w:fldChar w:fldCharType="separate"/>
            </w:r>
            <w:r w:rsidR="00C166CE">
              <w:rPr>
                <w:noProof/>
                <w:webHidden/>
              </w:rPr>
              <w:t>4</w:t>
            </w:r>
            <w:r w:rsidR="00C166CE">
              <w:rPr>
                <w:noProof/>
                <w:webHidden/>
              </w:rPr>
              <w:fldChar w:fldCharType="end"/>
            </w:r>
          </w:hyperlink>
        </w:p>
        <w:p w14:paraId="65F53437" w14:textId="1E709CC5" w:rsidR="00C166CE" w:rsidRDefault="00EF19F5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2259606" w:history="1">
            <w:r w:rsidR="00C166CE" w:rsidRPr="00AC5BC9">
              <w:rPr>
                <w:rStyle w:val="Hyperlink"/>
                <w:noProof/>
              </w:rPr>
              <w:t>Phase 2: General Undergraduate Predictive Model:</w:t>
            </w:r>
            <w:r w:rsidR="00C166CE">
              <w:rPr>
                <w:noProof/>
                <w:webHidden/>
              </w:rPr>
              <w:tab/>
            </w:r>
            <w:r w:rsidR="00C166CE">
              <w:rPr>
                <w:noProof/>
                <w:webHidden/>
              </w:rPr>
              <w:fldChar w:fldCharType="begin"/>
            </w:r>
            <w:r w:rsidR="00C166CE">
              <w:rPr>
                <w:noProof/>
                <w:webHidden/>
              </w:rPr>
              <w:instrText xml:space="preserve"> PAGEREF _Toc2259606 \h </w:instrText>
            </w:r>
            <w:r w:rsidR="00C166CE">
              <w:rPr>
                <w:noProof/>
                <w:webHidden/>
              </w:rPr>
            </w:r>
            <w:r w:rsidR="00C166CE">
              <w:rPr>
                <w:noProof/>
                <w:webHidden/>
              </w:rPr>
              <w:fldChar w:fldCharType="separate"/>
            </w:r>
            <w:r w:rsidR="00C166CE">
              <w:rPr>
                <w:noProof/>
                <w:webHidden/>
              </w:rPr>
              <w:t>5</w:t>
            </w:r>
            <w:r w:rsidR="00C166CE">
              <w:rPr>
                <w:noProof/>
                <w:webHidden/>
              </w:rPr>
              <w:fldChar w:fldCharType="end"/>
            </w:r>
          </w:hyperlink>
        </w:p>
        <w:p w14:paraId="0AE10F9B" w14:textId="401E17A6" w:rsidR="00C166CE" w:rsidRDefault="00EF19F5">
          <w:pPr>
            <w:pStyle w:val="TOC3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2259607" w:history="1">
            <w:r w:rsidR="00C166CE" w:rsidRPr="00AC5BC9">
              <w:rPr>
                <w:rStyle w:val="Hyperlink"/>
                <w:noProof/>
              </w:rPr>
              <w:t>Background</w:t>
            </w:r>
            <w:r w:rsidR="00C166CE">
              <w:rPr>
                <w:noProof/>
                <w:webHidden/>
              </w:rPr>
              <w:tab/>
            </w:r>
            <w:r w:rsidR="00C166CE">
              <w:rPr>
                <w:noProof/>
                <w:webHidden/>
              </w:rPr>
              <w:fldChar w:fldCharType="begin"/>
            </w:r>
            <w:r w:rsidR="00C166CE">
              <w:rPr>
                <w:noProof/>
                <w:webHidden/>
              </w:rPr>
              <w:instrText xml:space="preserve"> PAGEREF _Toc2259607 \h </w:instrText>
            </w:r>
            <w:r w:rsidR="00C166CE">
              <w:rPr>
                <w:noProof/>
                <w:webHidden/>
              </w:rPr>
            </w:r>
            <w:r w:rsidR="00C166CE">
              <w:rPr>
                <w:noProof/>
                <w:webHidden/>
              </w:rPr>
              <w:fldChar w:fldCharType="separate"/>
            </w:r>
            <w:r w:rsidR="00C166CE">
              <w:rPr>
                <w:noProof/>
                <w:webHidden/>
              </w:rPr>
              <w:t>5</w:t>
            </w:r>
            <w:r w:rsidR="00C166CE">
              <w:rPr>
                <w:noProof/>
                <w:webHidden/>
              </w:rPr>
              <w:fldChar w:fldCharType="end"/>
            </w:r>
          </w:hyperlink>
        </w:p>
        <w:p w14:paraId="772056D1" w14:textId="023D52D5" w:rsidR="00C166CE" w:rsidRDefault="00EF19F5">
          <w:pPr>
            <w:pStyle w:val="TOC3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2259608" w:history="1">
            <w:r w:rsidR="00C166CE" w:rsidRPr="00AC5BC9">
              <w:rPr>
                <w:rStyle w:val="Hyperlink"/>
                <w:noProof/>
              </w:rPr>
              <w:t xml:space="preserve">Treatment of High School data within </w:t>
            </w:r>
            <w:r w:rsidR="008D7B1F">
              <w:rPr>
                <w:rStyle w:val="Hyperlink"/>
                <w:noProof/>
              </w:rPr>
              <w:t>G</w:t>
            </w:r>
            <w:r w:rsidR="00C166CE" w:rsidRPr="00AC5BC9">
              <w:rPr>
                <w:rStyle w:val="Hyperlink"/>
                <w:noProof/>
              </w:rPr>
              <w:t xml:space="preserve">eneral </w:t>
            </w:r>
            <w:r w:rsidR="008D7B1F">
              <w:rPr>
                <w:rStyle w:val="Hyperlink"/>
                <w:noProof/>
              </w:rPr>
              <w:t>U</w:t>
            </w:r>
            <w:r w:rsidR="00C166CE" w:rsidRPr="00AC5BC9">
              <w:rPr>
                <w:rStyle w:val="Hyperlink"/>
                <w:noProof/>
              </w:rPr>
              <w:t xml:space="preserve">ndergraduate </w:t>
            </w:r>
            <w:r w:rsidR="008D7B1F">
              <w:rPr>
                <w:rStyle w:val="Hyperlink"/>
                <w:noProof/>
              </w:rPr>
              <w:t>M</w:t>
            </w:r>
            <w:r w:rsidR="00C166CE" w:rsidRPr="00AC5BC9">
              <w:rPr>
                <w:rStyle w:val="Hyperlink"/>
                <w:noProof/>
              </w:rPr>
              <w:t>odel</w:t>
            </w:r>
            <w:r w:rsidR="00C166CE">
              <w:rPr>
                <w:noProof/>
                <w:webHidden/>
              </w:rPr>
              <w:tab/>
            </w:r>
            <w:r w:rsidR="00C166CE">
              <w:rPr>
                <w:noProof/>
                <w:webHidden/>
              </w:rPr>
              <w:fldChar w:fldCharType="begin"/>
            </w:r>
            <w:r w:rsidR="00C166CE">
              <w:rPr>
                <w:noProof/>
                <w:webHidden/>
              </w:rPr>
              <w:instrText xml:space="preserve"> PAGEREF _Toc2259608 \h </w:instrText>
            </w:r>
            <w:r w:rsidR="00C166CE">
              <w:rPr>
                <w:noProof/>
                <w:webHidden/>
              </w:rPr>
            </w:r>
            <w:r w:rsidR="00C166CE">
              <w:rPr>
                <w:noProof/>
                <w:webHidden/>
              </w:rPr>
              <w:fldChar w:fldCharType="separate"/>
            </w:r>
            <w:r w:rsidR="00C166CE">
              <w:rPr>
                <w:noProof/>
                <w:webHidden/>
              </w:rPr>
              <w:t>5</w:t>
            </w:r>
            <w:r w:rsidR="00C166CE">
              <w:rPr>
                <w:noProof/>
                <w:webHidden/>
              </w:rPr>
              <w:fldChar w:fldCharType="end"/>
            </w:r>
          </w:hyperlink>
        </w:p>
        <w:p w14:paraId="2EAF81E5" w14:textId="6402BE94" w:rsidR="00C166CE" w:rsidRDefault="00EF19F5">
          <w:pPr>
            <w:pStyle w:val="TOC3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2259609" w:history="1">
            <w:r w:rsidR="00C166CE" w:rsidRPr="00AC5BC9">
              <w:rPr>
                <w:rStyle w:val="Hyperlink"/>
                <w:noProof/>
              </w:rPr>
              <w:t>Treatment of Racial Self-Identification with General Undergraduate Model</w:t>
            </w:r>
            <w:r w:rsidR="00C166CE">
              <w:rPr>
                <w:noProof/>
                <w:webHidden/>
              </w:rPr>
              <w:tab/>
            </w:r>
            <w:r w:rsidR="00C166CE">
              <w:rPr>
                <w:noProof/>
                <w:webHidden/>
              </w:rPr>
              <w:fldChar w:fldCharType="begin"/>
            </w:r>
            <w:r w:rsidR="00C166CE">
              <w:rPr>
                <w:noProof/>
                <w:webHidden/>
              </w:rPr>
              <w:instrText xml:space="preserve"> PAGEREF _Toc2259609 \h </w:instrText>
            </w:r>
            <w:r w:rsidR="00C166CE">
              <w:rPr>
                <w:noProof/>
                <w:webHidden/>
              </w:rPr>
            </w:r>
            <w:r w:rsidR="00C166CE">
              <w:rPr>
                <w:noProof/>
                <w:webHidden/>
              </w:rPr>
              <w:fldChar w:fldCharType="separate"/>
            </w:r>
            <w:r w:rsidR="00C166CE">
              <w:rPr>
                <w:noProof/>
                <w:webHidden/>
              </w:rPr>
              <w:t>6</w:t>
            </w:r>
            <w:r w:rsidR="00C166CE">
              <w:rPr>
                <w:noProof/>
                <w:webHidden/>
              </w:rPr>
              <w:fldChar w:fldCharType="end"/>
            </w:r>
          </w:hyperlink>
        </w:p>
        <w:p w14:paraId="1E16EC4F" w14:textId="2FD8084D" w:rsidR="00C166CE" w:rsidRDefault="00EF19F5">
          <w:pPr>
            <w:pStyle w:val="TOC3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2259610" w:history="1">
            <w:r w:rsidR="00C166CE" w:rsidRPr="00AC5BC9">
              <w:rPr>
                <w:rStyle w:val="Hyperlink"/>
                <w:noProof/>
              </w:rPr>
              <w:t>General Undergraduate Final Model:</w:t>
            </w:r>
            <w:r w:rsidR="00C166CE">
              <w:rPr>
                <w:noProof/>
                <w:webHidden/>
              </w:rPr>
              <w:tab/>
            </w:r>
            <w:r w:rsidR="00C166CE">
              <w:rPr>
                <w:noProof/>
                <w:webHidden/>
              </w:rPr>
              <w:fldChar w:fldCharType="begin"/>
            </w:r>
            <w:r w:rsidR="00C166CE">
              <w:rPr>
                <w:noProof/>
                <w:webHidden/>
              </w:rPr>
              <w:instrText xml:space="preserve"> PAGEREF _Toc2259610 \h </w:instrText>
            </w:r>
            <w:r w:rsidR="00C166CE">
              <w:rPr>
                <w:noProof/>
                <w:webHidden/>
              </w:rPr>
            </w:r>
            <w:r w:rsidR="00C166CE">
              <w:rPr>
                <w:noProof/>
                <w:webHidden/>
              </w:rPr>
              <w:fldChar w:fldCharType="separate"/>
            </w:r>
            <w:r w:rsidR="00C166CE">
              <w:rPr>
                <w:noProof/>
                <w:webHidden/>
              </w:rPr>
              <w:t>6</w:t>
            </w:r>
            <w:r w:rsidR="00C166CE">
              <w:rPr>
                <w:noProof/>
                <w:webHidden/>
              </w:rPr>
              <w:fldChar w:fldCharType="end"/>
            </w:r>
          </w:hyperlink>
        </w:p>
        <w:p w14:paraId="70745C6D" w14:textId="3F91CA97" w:rsidR="00C166CE" w:rsidRDefault="00EF19F5">
          <w:pPr>
            <w:pStyle w:val="TOC3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2259611" w:history="1">
            <w:r w:rsidR="00C166CE" w:rsidRPr="00AC5BC9">
              <w:rPr>
                <w:rStyle w:val="Hyperlink"/>
                <w:noProof/>
              </w:rPr>
              <w:t>Consideration with Racial and gender elements</w:t>
            </w:r>
            <w:r w:rsidR="00C166CE">
              <w:rPr>
                <w:noProof/>
                <w:webHidden/>
              </w:rPr>
              <w:tab/>
            </w:r>
            <w:r w:rsidR="00C166CE">
              <w:rPr>
                <w:noProof/>
                <w:webHidden/>
              </w:rPr>
              <w:fldChar w:fldCharType="begin"/>
            </w:r>
            <w:r w:rsidR="00C166CE">
              <w:rPr>
                <w:noProof/>
                <w:webHidden/>
              </w:rPr>
              <w:instrText xml:space="preserve"> PAGEREF _Toc2259611 \h </w:instrText>
            </w:r>
            <w:r w:rsidR="00C166CE">
              <w:rPr>
                <w:noProof/>
                <w:webHidden/>
              </w:rPr>
            </w:r>
            <w:r w:rsidR="00C166CE">
              <w:rPr>
                <w:noProof/>
                <w:webHidden/>
              </w:rPr>
              <w:fldChar w:fldCharType="separate"/>
            </w:r>
            <w:r w:rsidR="00C166CE">
              <w:rPr>
                <w:noProof/>
                <w:webHidden/>
              </w:rPr>
              <w:t>7</w:t>
            </w:r>
            <w:r w:rsidR="00C166CE">
              <w:rPr>
                <w:noProof/>
                <w:webHidden/>
              </w:rPr>
              <w:fldChar w:fldCharType="end"/>
            </w:r>
          </w:hyperlink>
        </w:p>
        <w:p w14:paraId="3B0AB79C" w14:textId="6EE06815" w:rsidR="00C166CE" w:rsidRDefault="00EF19F5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2259612" w:history="1">
            <w:r w:rsidR="00C166CE" w:rsidRPr="00AC5BC9">
              <w:rPr>
                <w:rStyle w:val="Hyperlink"/>
                <w:noProof/>
              </w:rPr>
              <w:t>Summary Findings (take</w:t>
            </w:r>
            <w:r w:rsidR="002B2B7D">
              <w:rPr>
                <w:rStyle w:val="Hyperlink"/>
                <w:noProof/>
              </w:rPr>
              <w:t>-</w:t>
            </w:r>
            <w:r w:rsidR="00C166CE" w:rsidRPr="00AC5BC9">
              <w:rPr>
                <w:rStyle w:val="Hyperlink"/>
                <w:noProof/>
              </w:rPr>
              <w:t>away):</w:t>
            </w:r>
            <w:r w:rsidR="00C166CE">
              <w:rPr>
                <w:noProof/>
                <w:webHidden/>
              </w:rPr>
              <w:tab/>
            </w:r>
            <w:r w:rsidR="00C166CE">
              <w:rPr>
                <w:noProof/>
                <w:webHidden/>
              </w:rPr>
              <w:fldChar w:fldCharType="begin"/>
            </w:r>
            <w:r w:rsidR="00C166CE">
              <w:rPr>
                <w:noProof/>
                <w:webHidden/>
              </w:rPr>
              <w:instrText xml:space="preserve"> PAGEREF _Toc2259612 \h </w:instrText>
            </w:r>
            <w:r w:rsidR="00C166CE">
              <w:rPr>
                <w:noProof/>
                <w:webHidden/>
              </w:rPr>
            </w:r>
            <w:r w:rsidR="00C166CE">
              <w:rPr>
                <w:noProof/>
                <w:webHidden/>
              </w:rPr>
              <w:fldChar w:fldCharType="separate"/>
            </w:r>
            <w:r w:rsidR="00C166CE">
              <w:rPr>
                <w:noProof/>
                <w:webHidden/>
              </w:rPr>
              <w:t>8</w:t>
            </w:r>
            <w:r w:rsidR="00C166CE">
              <w:rPr>
                <w:noProof/>
                <w:webHidden/>
              </w:rPr>
              <w:fldChar w:fldCharType="end"/>
            </w:r>
          </w:hyperlink>
        </w:p>
        <w:p w14:paraId="2532B8CF" w14:textId="4693D137" w:rsidR="00C166CE" w:rsidRDefault="00EF19F5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2259613" w:history="1">
            <w:r w:rsidR="00C166CE" w:rsidRPr="00AC5BC9">
              <w:rPr>
                <w:rStyle w:val="Hyperlink"/>
                <w:noProof/>
              </w:rPr>
              <w:t>References</w:t>
            </w:r>
            <w:r w:rsidR="00C166CE">
              <w:rPr>
                <w:noProof/>
                <w:webHidden/>
              </w:rPr>
              <w:tab/>
            </w:r>
            <w:r w:rsidR="00C166CE">
              <w:rPr>
                <w:noProof/>
                <w:webHidden/>
              </w:rPr>
              <w:fldChar w:fldCharType="begin"/>
            </w:r>
            <w:r w:rsidR="00C166CE">
              <w:rPr>
                <w:noProof/>
                <w:webHidden/>
              </w:rPr>
              <w:instrText xml:space="preserve"> PAGEREF _Toc2259613 \h </w:instrText>
            </w:r>
            <w:r w:rsidR="00C166CE">
              <w:rPr>
                <w:noProof/>
                <w:webHidden/>
              </w:rPr>
            </w:r>
            <w:r w:rsidR="00C166CE">
              <w:rPr>
                <w:noProof/>
                <w:webHidden/>
              </w:rPr>
              <w:fldChar w:fldCharType="separate"/>
            </w:r>
            <w:r w:rsidR="00C166CE">
              <w:rPr>
                <w:noProof/>
                <w:webHidden/>
              </w:rPr>
              <w:t>9</w:t>
            </w:r>
            <w:r w:rsidR="00C166CE">
              <w:rPr>
                <w:noProof/>
                <w:webHidden/>
              </w:rPr>
              <w:fldChar w:fldCharType="end"/>
            </w:r>
          </w:hyperlink>
        </w:p>
        <w:p w14:paraId="25E8AE93" w14:textId="7DC0B4A8" w:rsidR="00C166CE" w:rsidRDefault="00EF19F5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2259614" w:history="1">
            <w:r w:rsidR="00C166CE" w:rsidRPr="00AC5BC9">
              <w:rPr>
                <w:rStyle w:val="Hyperlink"/>
                <w:noProof/>
              </w:rPr>
              <w:t>Appendix A: Model Maximum Likelihood Analysis Summary</w:t>
            </w:r>
            <w:r w:rsidR="00C166CE">
              <w:rPr>
                <w:noProof/>
                <w:webHidden/>
              </w:rPr>
              <w:tab/>
            </w:r>
            <w:r w:rsidR="00C166CE">
              <w:rPr>
                <w:noProof/>
                <w:webHidden/>
              </w:rPr>
              <w:fldChar w:fldCharType="begin"/>
            </w:r>
            <w:r w:rsidR="00C166CE">
              <w:rPr>
                <w:noProof/>
                <w:webHidden/>
              </w:rPr>
              <w:instrText xml:space="preserve"> PAGEREF _Toc2259614 \h </w:instrText>
            </w:r>
            <w:r w:rsidR="00C166CE">
              <w:rPr>
                <w:noProof/>
                <w:webHidden/>
              </w:rPr>
            </w:r>
            <w:r w:rsidR="00C166CE">
              <w:rPr>
                <w:noProof/>
                <w:webHidden/>
              </w:rPr>
              <w:fldChar w:fldCharType="separate"/>
            </w:r>
            <w:r w:rsidR="00C166CE">
              <w:rPr>
                <w:noProof/>
                <w:webHidden/>
              </w:rPr>
              <w:t>11</w:t>
            </w:r>
            <w:r w:rsidR="00C166CE">
              <w:rPr>
                <w:noProof/>
                <w:webHidden/>
              </w:rPr>
              <w:fldChar w:fldCharType="end"/>
            </w:r>
          </w:hyperlink>
        </w:p>
        <w:p w14:paraId="0E5041EC" w14:textId="2D0EF46D" w:rsidR="00842DAE" w:rsidRDefault="00842DAE">
          <w:r>
            <w:rPr>
              <w:b/>
              <w:bCs/>
              <w:noProof/>
            </w:rPr>
            <w:fldChar w:fldCharType="end"/>
          </w:r>
        </w:p>
      </w:sdtContent>
    </w:sdt>
    <w:p w14:paraId="3543F046" w14:textId="0FB3EECD" w:rsidR="00842DAE" w:rsidRDefault="00842DAE"/>
    <w:p w14:paraId="04DCEDA4" w14:textId="2A9564C7" w:rsidR="005F7E93" w:rsidRDefault="005F7E93"/>
    <w:p w14:paraId="4047E29C" w14:textId="20CD5CFB" w:rsidR="005F7E93" w:rsidRDefault="005F7E93"/>
    <w:p w14:paraId="0174C8A7" w14:textId="78425C5F" w:rsidR="005F7E93" w:rsidRDefault="005F7E93"/>
    <w:p w14:paraId="306E7AAA" w14:textId="1964A78C" w:rsidR="005F7E93" w:rsidRDefault="005F7E93"/>
    <w:p w14:paraId="457C6CE4" w14:textId="516A4829" w:rsidR="005F7E93" w:rsidRDefault="005F7E93"/>
    <w:p w14:paraId="755F24DB" w14:textId="5E15EF33" w:rsidR="005F7E93" w:rsidRDefault="005F7E93"/>
    <w:p w14:paraId="0A866B4C" w14:textId="61CEE812" w:rsidR="005F7E93" w:rsidRDefault="005F7E93"/>
    <w:p w14:paraId="62DCA41C" w14:textId="4590BEA8" w:rsidR="005F7E93" w:rsidRDefault="005F7E93"/>
    <w:p w14:paraId="5CEF0FDE" w14:textId="77777777" w:rsidR="005F7E93" w:rsidRDefault="005F7E93"/>
    <w:p w14:paraId="739038E9" w14:textId="68545A81" w:rsidR="00842DAE" w:rsidRPr="00842DAE" w:rsidRDefault="00842DAE" w:rsidP="00842DAE">
      <w:pPr>
        <w:spacing w:after="0"/>
        <w:rPr>
          <w:b/>
          <w:i/>
          <w:sz w:val="20"/>
        </w:rPr>
      </w:pPr>
      <w:r w:rsidRPr="00842DAE">
        <w:rPr>
          <w:b/>
          <w:i/>
          <w:sz w:val="20"/>
        </w:rPr>
        <w:t xml:space="preserve">Contact: </w:t>
      </w:r>
      <w:r w:rsidRPr="00842DAE">
        <w:rPr>
          <w:b/>
          <w:i/>
          <w:sz w:val="20"/>
        </w:rPr>
        <w:tab/>
        <w:t>Dale Pietrzak, Ed.D., Director</w:t>
      </w:r>
      <w:r w:rsidR="00C166CE">
        <w:rPr>
          <w:b/>
          <w:i/>
          <w:sz w:val="20"/>
        </w:rPr>
        <w:t>, Institutional Effectiveness and Accreditation</w:t>
      </w:r>
    </w:p>
    <w:p w14:paraId="030851B9" w14:textId="557BC7C1" w:rsidR="00842DAE" w:rsidRPr="00842DAE" w:rsidRDefault="00842DAE" w:rsidP="00842DAE">
      <w:pPr>
        <w:spacing w:after="0"/>
        <w:ind w:left="720" w:firstLine="720"/>
        <w:rPr>
          <w:i/>
          <w:sz w:val="20"/>
        </w:rPr>
      </w:pPr>
      <w:r w:rsidRPr="00842DAE">
        <w:rPr>
          <w:i/>
          <w:sz w:val="20"/>
        </w:rPr>
        <w:t>dalepietrzak@uidaho.edu</w:t>
      </w:r>
    </w:p>
    <w:p w14:paraId="4699FAF7" w14:textId="53F33BA4" w:rsidR="00580887" w:rsidRDefault="0058088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940F9C9" w14:textId="476B1C1D" w:rsidR="00B02C60" w:rsidRDefault="008C085C" w:rsidP="0053373D">
      <w:pPr>
        <w:pStyle w:val="Heading1"/>
        <w:jc w:val="center"/>
      </w:pPr>
      <w:bookmarkStart w:id="0" w:name="_Toc2259601"/>
      <w:r>
        <w:lastRenderedPageBreak/>
        <w:t>Reexamination of Spring to Fall Progression</w:t>
      </w:r>
      <w:bookmarkEnd w:id="0"/>
    </w:p>
    <w:p w14:paraId="02CB6E4B" w14:textId="77777777" w:rsidR="0053373D" w:rsidRDefault="0053373D" w:rsidP="0053373D"/>
    <w:p w14:paraId="2F00887C" w14:textId="77777777" w:rsidR="0053373D" w:rsidRDefault="0053373D" w:rsidP="0053373D">
      <w:pPr>
        <w:pStyle w:val="Heading2"/>
      </w:pPr>
      <w:bookmarkStart w:id="1" w:name="_Toc2259602"/>
      <w:r>
        <w:t xml:space="preserve">Executive </w:t>
      </w:r>
      <w:r w:rsidRPr="0053373D">
        <w:t>Summary</w:t>
      </w:r>
      <w:bookmarkEnd w:id="1"/>
    </w:p>
    <w:p w14:paraId="3F853BE7" w14:textId="5ECC116A" w:rsidR="0053373D" w:rsidRDefault="003C2A2E" w:rsidP="0053373D">
      <w:pPr>
        <w:pStyle w:val="ListParagraph"/>
        <w:numPr>
          <w:ilvl w:val="0"/>
          <w:numId w:val="8"/>
        </w:numPr>
      </w:pPr>
      <w:r>
        <w:t>A</w:t>
      </w:r>
      <w:r w:rsidR="0053373D">
        <w:t xml:space="preserve"> final predictive model has now been revised to the point where it is within the functional range common</w:t>
      </w:r>
      <w:r>
        <w:t xml:space="preserve">ly seen for these </w:t>
      </w:r>
      <w:r w:rsidR="0053373D">
        <w:t xml:space="preserve">models </w:t>
      </w:r>
      <w:r>
        <w:t>i</w:t>
      </w:r>
      <w:r w:rsidR="0053373D">
        <w:t>n the literature and reported at conferences. The model is consistent with data from the Cluster Analytic examination of the non-retained and initial data from the Student Experience Survey.</w:t>
      </w:r>
      <w:r w:rsidR="009C17C1">
        <w:t xml:space="preserve"> </w:t>
      </w:r>
    </w:p>
    <w:p w14:paraId="7557E6AE" w14:textId="5E3B6BEE" w:rsidR="0053373D" w:rsidRDefault="0053373D" w:rsidP="0053373D">
      <w:pPr>
        <w:pStyle w:val="ListParagraph"/>
        <w:numPr>
          <w:ilvl w:val="0"/>
          <w:numId w:val="8"/>
        </w:numPr>
      </w:pPr>
      <w:r>
        <w:t xml:space="preserve">It can be used to </w:t>
      </w:r>
      <w:r w:rsidR="003C2A2E">
        <w:t>provide</w:t>
      </w:r>
      <w:r>
        <w:t xml:space="preserve"> a set of risk scores and prioritization </w:t>
      </w:r>
      <w:r w:rsidR="003C2A2E">
        <w:t xml:space="preserve">indicators which </w:t>
      </w:r>
      <w:r>
        <w:t xml:space="preserve">can be used by advising or others </w:t>
      </w:r>
      <w:r w:rsidR="003C2A2E">
        <w:t xml:space="preserve">in working with students. </w:t>
      </w:r>
      <w:r>
        <w:t>Meeting</w:t>
      </w:r>
      <w:r w:rsidR="00D7557A">
        <w:t>s</w:t>
      </w:r>
      <w:r>
        <w:t xml:space="preserve"> to determine how to provide the information to </w:t>
      </w:r>
      <w:r w:rsidR="003C2A2E">
        <w:t xml:space="preserve">those desiring to use it </w:t>
      </w:r>
      <w:r>
        <w:t>(i.e., dashboards, lists, etc.)</w:t>
      </w:r>
      <w:r w:rsidR="003C2A2E">
        <w:t xml:space="preserve"> are being initiated.</w:t>
      </w:r>
      <w:r w:rsidR="009C17C1">
        <w:t xml:space="preserve"> </w:t>
      </w:r>
      <w:r w:rsidR="003C2A2E">
        <w:t xml:space="preserve">These discussions will necessarily include defining optimal intervention points regarding level of </w:t>
      </w:r>
      <w:r>
        <w:t>risk</w:t>
      </w:r>
      <w:r w:rsidR="003C2A2E">
        <w:t>.</w:t>
      </w:r>
      <w:r w:rsidR="009C17C1">
        <w:t xml:space="preserve"> </w:t>
      </w:r>
      <w:r w:rsidR="003C2A2E">
        <w:t xml:space="preserve">These can be used to develop </w:t>
      </w:r>
      <w:r>
        <w:t xml:space="preserve">targeted </w:t>
      </w:r>
      <w:r w:rsidR="003C2A2E">
        <w:t>student contact points and assist with general advising.</w:t>
      </w:r>
      <w:r w:rsidR="009C17C1">
        <w:t xml:space="preserve"> </w:t>
      </w:r>
      <w:r>
        <w:t xml:space="preserve">Conversation with </w:t>
      </w:r>
      <w:r w:rsidR="009C17C1">
        <w:t>A</w:t>
      </w:r>
      <w:r>
        <w:t>dvising and/or others who would have utility for it are being scheduled.</w:t>
      </w:r>
    </w:p>
    <w:p w14:paraId="48399247" w14:textId="6ECC1AF6" w:rsidR="0053373D" w:rsidRDefault="003C2A2E" w:rsidP="0053373D">
      <w:pPr>
        <w:pStyle w:val="ListParagraph"/>
        <w:numPr>
          <w:ilvl w:val="0"/>
          <w:numId w:val="8"/>
        </w:numPr>
      </w:pPr>
      <w:r>
        <w:t xml:space="preserve">Using the relative importance </w:t>
      </w:r>
      <w:r w:rsidR="005854A1">
        <w:t>estimates of predictors</w:t>
      </w:r>
      <w:r w:rsidR="00D7557A">
        <w:t>,</w:t>
      </w:r>
      <w:r w:rsidR="005854A1">
        <w:t xml:space="preserve"> along with the </w:t>
      </w:r>
      <w:r>
        <w:t>grouping</w:t>
      </w:r>
      <w:r w:rsidR="005854A1">
        <w:t>s</w:t>
      </w:r>
      <w:r>
        <w:t xml:space="preserve"> provided</w:t>
      </w:r>
      <w:r w:rsidR="00D7557A">
        <w:t>,</w:t>
      </w:r>
      <w:r>
        <w:t xml:space="preserve"> can </w:t>
      </w:r>
      <w:r w:rsidR="00652A2C">
        <w:t xml:space="preserve">provide </w:t>
      </w:r>
      <w:r>
        <w:t xml:space="preserve">a data-based means to </w:t>
      </w:r>
      <w:r w:rsidR="005854A1">
        <w:t xml:space="preserve">focus on the common </w:t>
      </w:r>
      <w:r>
        <w:t xml:space="preserve">elements </w:t>
      </w:r>
      <w:r w:rsidR="005854A1">
        <w:t>in many</w:t>
      </w:r>
      <w:r>
        <w:t xml:space="preserve"> students</w:t>
      </w:r>
      <w:r w:rsidR="00D7557A">
        <w:t>’</w:t>
      </w:r>
      <w:r>
        <w:t xml:space="preserve"> situation</w:t>
      </w:r>
      <w:r w:rsidR="005854A1">
        <w:t>s.</w:t>
      </w:r>
      <w:r w:rsidR="009C17C1">
        <w:t xml:space="preserve"> </w:t>
      </w:r>
      <w:r w:rsidR="0053373D">
        <w:t>However, as “importance” is a personal element</w:t>
      </w:r>
      <w:r w:rsidR="00D7557A">
        <w:t>,</w:t>
      </w:r>
      <w:r w:rsidR="0053373D">
        <w:t xml:space="preserve"> the relative importance </w:t>
      </w:r>
      <w:r w:rsidR="005854A1">
        <w:t xml:space="preserve">of something </w:t>
      </w:r>
      <w:r w:rsidR="0053373D">
        <w:t xml:space="preserve">in the general population and that for </w:t>
      </w:r>
      <w:r w:rsidR="00D7557A">
        <w:t xml:space="preserve">any </w:t>
      </w:r>
      <w:r w:rsidR="0053373D">
        <w:t>individual student can be qui</w:t>
      </w:r>
      <w:r w:rsidR="005854A1">
        <w:t>t</w:t>
      </w:r>
      <w:r w:rsidR="0053373D">
        <w:t>e varied.</w:t>
      </w:r>
      <w:r w:rsidR="009C17C1">
        <w:t xml:space="preserve"> </w:t>
      </w:r>
      <w:r w:rsidR="005854A1">
        <w:t>Professional judgement is always required.</w:t>
      </w:r>
    </w:p>
    <w:p w14:paraId="63AD8B60" w14:textId="7B54C19F" w:rsidR="0053373D" w:rsidRDefault="0053373D" w:rsidP="0053373D">
      <w:pPr>
        <w:pStyle w:val="ListParagraph"/>
        <w:numPr>
          <w:ilvl w:val="0"/>
          <w:numId w:val="8"/>
        </w:numPr>
      </w:pPr>
      <w:r>
        <w:t xml:space="preserve">As </w:t>
      </w:r>
      <w:r w:rsidR="005854A1">
        <w:t>was determined with previous models</w:t>
      </w:r>
      <w:r w:rsidR="00D7557A">
        <w:t>,</w:t>
      </w:r>
      <w:r w:rsidR="005854A1">
        <w:t xml:space="preserve"> </w:t>
      </w:r>
      <w:r w:rsidR="00AC51CB">
        <w:t xml:space="preserve">significant </w:t>
      </w:r>
      <w:r w:rsidR="005854A1">
        <w:t xml:space="preserve">measures of </w:t>
      </w:r>
      <w:r>
        <w:t>student behavior and attitude</w:t>
      </w:r>
      <w:r w:rsidR="005854A1">
        <w:t xml:space="preserve">, </w:t>
      </w:r>
      <w:r>
        <w:t xml:space="preserve">key </w:t>
      </w:r>
      <w:r w:rsidR="005854A1">
        <w:t xml:space="preserve">to refining these models, are largely </w:t>
      </w:r>
      <w:r w:rsidR="00D7557A">
        <w:t xml:space="preserve">absent from </w:t>
      </w:r>
      <w:r w:rsidR="005854A1">
        <w:t xml:space="preserve">the U of I system. </w:t>
      </w:r>
      <w:r>
        <w:t>Steps are underway to remedy this, but they are not operational</w:t>
      </w:r>
      <w:r w:rsidR="005854A1">
        <w:t>ized yet</w:t>
      </w:r>
      <w:r>
        <w:t xml:space="preserve">. </w:t>
      </w:r>
      <w:r w:rsidR="005854A1">
        <w:t>Some of these include planning to integrate the d</w:t>
      </w:r>
      <w:r>
        <w:t xml:space="preserve">ata that is collected by </w:t>
      </w:r>
      <w:proofErr w:type="spellStart"/>
      <w:r>
        <w:t>Vand</w:t>
      </w:r>
      <w:r w:rsidR="00D7557A">
        <w:t>a</w:t>
      </w:r>
      <w:r>
        <w:t>lStar</w:t>
      </w:r>
      <w:proofErr w:type="spellEnd"/>
      <w:r w:rsidR="005854A1">
        <w:t>.</w:t>
      </w:r>
      <w:r w:rsidR="009C17C1">
        <w:t xml:space="preserve"> </w:t>
      </w:r>
      <w:r w:rsidR="00926A74">
        <w:t>C</w:t>
      </w:r>
      <w:r>
        <w:t xml:space="preserve">onversations </w:t>
      </w:r>
      <w:r w:rsidR="00926A74">
        <w:t xml:space="preserve">were had </w:t>
      </w:r>
      <w:r>
        <w:t>with Advising, and other potential end users</w:t>
      </w:r>
      <w:r w:rsidR="00926A74">
        <w:t xml:space="preserve"> and</w:t>
      </w:r>
      <w:r w:rsidR="00AC51CB">
        <w:t xml:space="preserve"> the decision </w:t>
      </w:r>
      <w:r w:rsidR="00926A74">
        <w:t xml:space="preserve">was made </w:t>
      </w:r>
      <w:r w:rsidR="00AC51CB">
        <w:t xml:space="preserve">to </w:t>
      </w:r>
      <w:r w:rsidR="00FE465D">
        <w:t xml:space="preserve">replace the </w:t>
      </w:r>
      <w:r>
        <w:t xml:space="preserve">Freshman Survey (CIRP) </w:t>
      </w:r>
      <w:r w:rsidR="00FE465D">
        <w:t>with the</w:t>
      </w:r>
      <w:r>
        <w:t xml:space="preserve"> ACT Engage.</w:t>
      </w:r>
      <w:r w:rsidR="009C17C1">
        <w:t xml:space="preserve"> </w:t>
      </w:r>
      <w:r>
        <w:t xml:space="preserve">This would be administered </w:t>
      </w:r>
      <w:r w:rsidR="00FE465D">
        <w:t xml:space="preserve">close to the </w:t>
      </w:r>
      <w:r>
        <w:t xml:space="preserve">student’s arrival on campus and should allow for the development </w:t>
      </w:r>
      <w:r w:rsidR="00FE465D">
        <w:t xml:space="preserve">of </w:t>
      </w:r>
      <w:r>
        <w:t>key data in this area.</w:t>
      </w:r>
      <w:r w:rsidR="009C17C1">
        <w:t xml:space="preserve"> </w:t>
      </w:r>
      <w:r>
        <w:t xml:space="preserve">Lastly, a Student Experience Survey is being piloted (second semester) </w:t>
      </w:r>
      <w:r w:rsidR="00FE465D">
        <w:t xml:space="preserve">which </w:t>
      </w:r>
      <w:r>
        <w:t>may provide information to assist in the refinement</w:t>
      </w:r>
      <w:r w:rsidR="00D7557A">
        <w:t>, over time,</w:t>
      </w:r>
      <w:r>
        <w:t xml:space="preserve"> of the</w:t>
      </w:r>
      <w:r w:rsidR="00FE465D">
        <w:t>se</w:t>
      </w:r>
      <w:r>
        <w:t xml:space="preserve"> model</w:t>
      </w:r>
      <w:r w:rsidR="00FE465D">
        <w:t>s</w:t>
      </w:r>
      <w:r>
        <w:t>.</w:t>
      </w:r>
    </w:p>
    <w:p w14:paraId="13C8DD0F" w14:textId="6A0EACBA" w:rsidR="0053373D" w:rsidRDefault="00FE465D" w:rsidP="0053373D">
      <w:pPr>
        <w:pStyle w:val="ListParagraph"/>
        <w:numPr>
          <w:ilvl w:val="0"/>
          <w:numId w:val="8"/>
        </w:numPr>
      </w:pPr>
      <w:r>
        <w:t xml:space="preserve">The findings here indicate that developing separate models for key audiences and along student characteristics may be of value. </w:t>
      </w:r>
      <w:r w:rsidR="0053373D">
        <w:t>The factors of full</w:t>
      </w:r>
      <w:r w:rsidR="00D7557A">
        <w:t>-</w:t>
      </w:r>
      <w:r w:rsidR="0053373D">
        <w:t xml:space="preserve">time/part-time, </w:t>
      </w:r>
      <w:r w:rsidR="00D7557A">
        <w:t>s</w:t>
      </w:r>
      <w:r w:rsidR="0053373D">
        <w:t xml:space="preserve">tudent </w:t>
      </w:r>
      <w:r w:rsidR="00D7557A">
        <w:t>s</w:t>
      </w:r>
      <w:r w:rsidR="0053373D">
        <w:t xml:space="preserve">tanding (i.e. </w:t>
      </w:r>
      <w:r w:rsidR="00F43F35">
        <w:t>freshman</w:t>
      </w:r>
      <w:r w:rsidR="0053373D">
        <w:t xml:space="preserve">, </w:t>
      </w:r>
      <w:r w:rsidR="00F43F35">
        <w:t>s</w:t>
      </w:r>
      <w:r w:rsidR="0053373D">
        <w:t xml:space="preserve">ophomore, </w:t>
      </w:r>
      <w:r w:rsidR="00F43F35">
        <w:t>j</w:t>
      </w:r>
      <w:r w:rsidR="0053373D">
        <w:t xml:space="preserve">unior and </w:t>
      </w:r>
      <w:r w:rsidR="00F43F35">
        <w:t>s</w:t>
      </w:r>
      <w:r w:rsidR="0053373D">
        <w:t xml:space="preserve">enior) and perhaps </w:t>
      </w:r>
      <w:r w:rsidR="00D7557A">
        <w:t>c</w:t>
      </w:r>
      <w:r w:rsidR="0053373D">
        <w:t xml:space="preserve">ollege </w:t>
      </w:r>
      <w:r>
        <w:t>are of possible utility.</w:t>
      </w:r>
      <w:r w:rsidR="009C17C1">
        <w:t xml:space="preserve"> </w:t>
      </w:r>
      <w:r w:rsidR="0053373D">
        <w:t xml:space="preserve">However, developing them would </w:t>
      </w:r>
      <w:r w:rsidR="00F43F35">
        <w:t xml:space="preserve">a) </w:t>
      </w:r>
      <w:r>
        <w:t xml:space="preserve">be dependent on a strategy for implementation and </w:t>
      </w:r>
      <w:r w:rsidR="00F43F35">
        <w:t xml:space="preserve">b) </w:t>
      </w:r>
      <w:r>
        <w:t xml:space="preserve">be </w:t>
      </w:r>
      <w:r w:rsidR="0053373D">
        <w:t>made in context of what the end user needs.</w:t>
      </w:r>
      <w:r w:rsidR="009C17C1">
        <w:t xml:space="preserve"> </w:t>
      </w:r>
      <w:r w:rsidR="0053373D">
        <w:t xml:space="preserve">The </w:t>
      </w:r>
      <w:r>
        <w:t xml:space="preserve">substantial </w:t>
      </w:r>
      <w:r w:rsidR="0053373D">
        <w:t xml:space="preserve">time </w:t>
      </w:r>
      <w:r w:rsidR="00F43F35">
        <w:t xml:space="preserve">required </w:t>
      </w:r>
      <w:r w:rsidR="0053373D">
        <w:t>to develop these, if they are not going to be used</w:t>
      </w:r>
      <w:r>
        <w:t xml:space="preserve">, </w:t>
      </w:r>
      <w:r w:rsidR="0053373D">
        <w:t xml:space="preserve">would </w:t>
      </w:r>
      <w:r>
        <w:t xml:space="preserve">be better targeted to other projects. It should be noted that it </w:t>
      </w:r>
      <w:r w:rsidR="0053373D">
        <w:t xml:space="preserve">is </w:t>
      </w:r>
      <w:r>
        <w:t xml:space="preserve">also likely </w:t>
      </w:r>
      <w:r w:rsidR="0053373D">
        <w:t xml:space="preserve">these models </w:t>
      </w:r>
      <w:r>
        <w:t xml:space="preserve">will </w:t>
      </w:r>
      <w:r w:rsidR="0053373D">
        <w:t xml:space="preserve">differ in the classification accuracy and </w:t>
      </w:r>
      <w:r>
        <w:t>predictors.</w:t>
      </w:r>
      <w:r w:rsidR="009C17C1">
        <w:t xml:space="preserve"> </w:t>
      </w:r>
      <w:r>
        <w:t xml:space="preserve">The final models may </w:t>
      </w:r>
      <w:r w:rsidR="0053373D">
        <w:t xml:space="preserve">not provide additional utility over the </w:t>
      </w:r>
      <w:r w:rsidR="00716A89">
        <w:t>G</w:t>
      </w:r>
      <w:r w:rsidR="0053373D">
        <w:t xml:space="preserve">eneral </w:t>
      </w:r>
      <w:r w:rsidR="00716A89">
        <w:t>U</w:t>
      </w:r>
      <w:r w:rsidR="0053373D">
        <w:t xml:space="preserve">ndergraduate </w:t>
      </w:r>
      <w:proofErr w:type="gramStart"/>
      <w:r w:rsidR="00716A89">
        <w:t>M</w:t>
      </w:r>
      <w:r w:rsidR="0053373D">
        <w:t>odel</w:t>
      </w:r>
      <w:r w:rsidR="00F43F35">
        <w:t>,</w:t>
      </w:r>
      <w:r>
        <w:t xml:space="preserve"> or</w:t>
      </w:r>
      <w:proofErr w:type="gramEnd"/>
      <w:r>
        <w:t xml:space="preserve"> may prove to be of</w:t>
      </w:r>
      <w:r w:rsidR="0053373D">
        <w:t xml:space="preserve"> increased </w:t>
      </w:r>
      <w:r>
        <w:t>value.</w:t>
      </w:r>
      <w:r w:rsidR="0053373D">
        <w:t xml:space="preserve"> </w:t>
      </w:r>
    </w:p>
    <w:p w14:paraId="73226591" w14:textId="769923E1" w:rsidR="0053373D" w:rsidRDefault="00FE465D" w:rsidP="0088486F">
      <w:pPr>
        <w:pStyle w:val="ListParagraph"/>
        <w:numPr>
          <w:ilvl w:val="0"/>
          <w:numId w:val="8"/>
        </w:numPr>
      </w:pPr>
      <w:r>
        <w:t>Finally, a</w:t>
      </w:r>
      <w:r w:rsidR="0053373D">
        <w:t xml:space="preserve"> note of caution</w:t>
      </w:r>
      <w:r w:rsidR="00F43F35">
        <w:t>:</w:t>
      </w:r>
      <w:r w:rsidR="0053373D">
        <w:t xml:space="preserve"> </w:t>
      </w:r>
      <w:r w:rsidR="00F43F35">
        <w:t>t</w:t>
      </w:r>
      <w:r w:rsidR="0053373D">
        <w:t>h</w:t>
      </w:r>
      <w:r>
        <w:t>is</w:t>
      </w:r>
      <w:r w:rsidR="0053373D">
        <w:t xml:space="preserve"> model, like similar models elsewhere, still has a higher than desired false positive rate. This is to some extent an artifact of </w:t>
      </w:r>
      <w:r>
        <w:t xml:space="preserve">the context of </w:t>
      </w:r>
      <w:r w:rsidR="0053373D">
        <w:t xml:space="preserve">such models but </w:t>
      </w:r>
      <w:r>
        <w:t xml:space="preserve">given its limitations it does have </w:t>
      </w:r>
      <w:proofErr w:type="gramStart"/>
      <w:r w:rsidR="0053373D">
        <w:t>sufficient</w:t>
      </w:r>
      <w:proofErr w:type="gramEnd"/>
      <w:r w:rsidR="0053373D">
        <w:t xml:space="preserve"> utility</w:t>
      </w:r>
      <w:r>
        <w:t>.</w:t>
      </w:r>
      <w:r w:rsidR="009C17C1">
        <w:t xml:space="preserve"> </w:t>
      </w:r>
      <w:r w:rsidR="0053373D">
        <w:br w:type="page"/>
      </w:r>
    </w:p>
    <w:p w14:paraId="0AB28F4F" w14:textId="77777777" w:rsidR="0053373D" w:rsidRPr="0053373D" w:rsidRDefault="0053373D" w:rsidP="0053373D"/>
    <w:p w14:paraId="21898A89" w14:textId="2AE905D9" w:rsidR="00B407D4" w:rsidRDefault="00B407D4" w:rsidP="00090754">
      <w:pPr>
        <w:pStyle w:val="Heading2"/>
      </w:pPr>
      <w:bookmarkStart w:id="2" w:name="_Toc2259603"/>
      <w:r>
        <w:t>Theoretical Framework</w:t>
      </w:r>
      <w:bookmarkEnd w:id="2"/>
    </w:p>
    <w:p w14:paraId="5D960013" w14:textId="7D275ACB" w:rsidR="007D2E4B" w:rsidRDefault="007D2E4B" w:rsidP="00114B6F">
      <w:pPr>
        <w:ind w:firstLine="720"/>
      </w:pPr>
      <w:r>
        <w:t xml:space="preserve">As we have been able to increase and integrate more data within our system, and it has been some time since the last set of predictive models was developed, </w:t>
      </w:r>
      <w:r w:rsidR="004B76A0">
        <w:t xml:space="preserve">now </w:t>
      </w:r>
      <w:r>
        <w:t xml:space="preserve">seemed a good time to revisit the development of these models. In doing so we engaged in a set of training workshops to ensure that the best practices in the area </w:t>
      </w:r>
      <w:r w:rsidR="002D2951">
        <w:t>were current</w:t>
      </w:r>
      <w:r w:rsidR="00CB0211">
        <w:t xml:space="preserve">. </w:t>
      </w:r>
    </w:p>
    <w:p w14:paraId="1EBE7FCE" w14:textId="28A87ECD" w:rsidR="00C46280" w:rsidRDefault="007D2E4B" w:rsidP="00114B6F">
      <w:pPr>
        <w:ind w:firstLine="720"/>
      </w:pPr>
      <w:r>
        <w:t xml:space="preserve">At the </w:t>
      </w:r>
      <w:r w:rsidR="00926A74">
        <w:t xml:space="preserve">time of the </w:t>
      </w:r>
      <w:r>
        <w:t>last model development</w:t>
      </w:r>
      <w:r w:rsidR="00926A74">
        <w:t xml:space="preserve"> the determination was made</w:t>
      </w:r>
      <w:r w:rsidR="007E1B2F">
        <w:t xml:space="preserve"> by IEA</w:t>
      </w:r>
      <w:r>
        <w:t xml:space="preserve"> that while useful, the model</w:t>
      </w:r>
      <w:r w:rsidR="00926A74">
        <w:t xml:space="preserve"> was</w:t>
      </w:r>
      <w:r>
        <w:t xml:space="preserve"> limited as there </w:t>
      </w:r>
      <w:r w:rsidR="00926A74">
        <w:t xml:space="preserve">were no </w:t>
      </w:r>
      <w:r>
        <w:t>financial and non-academic data available. As the screen-shot of a workshop slide below indicate</w:t>
      </w:r>
      <w:r w:rsidR="004B76A0">
        <w:t>s,</w:t>
      </w:r>
      <w:r>
        <w:t xml:space="preserve"> it is important </w:t>
      </w:r>
      <w:r w:rsidR="00926A74">
        <w:t xml:space="preserve">that the models </w:t>
      </w:r>
      <w:r>
        <w:t xml:space="preserve">consider various student experience elements in </w:t>
      </w:r>
      <w:r w:rsidR="00926A74">
        <w:t xml:space="preserve">for the best </w:t>
      </w:r>
      <w:r>
        <w:t>prediction model.</w:t>
      </w:r>
      <w:r w:rsidR="009C17C1">
        <w:t xml:space="preserve"> </w:t>
      </w:r>
      <w:r>
        <w:t>As U of I had a limited set of these data available</w:t>
      </w:r>
      <w:r w:rsidR="004B76A0">
        <w:t>,</w:t>
      </w:r>
      <w:r>
        <w:t xml:space="preserve"> effort </w:t>
      </w:r>
      <w:r w:rsidR="004B76A0">
        <w:t xml:space="preserve">was </w:t>
      </w:r>
      <w:r>
        <w:t xml:space="preserve">previously focused on </w:t>
      </w:r>
      <w:r w:rsidR="00C46280">
        <w:t xml:space="preserve">finding ways to </w:t>
      </w:r>
      <w:r>
        <w:t xml:space="preserve">develop </w:t>
      </w:r>
      <w:r w:rsidR="00C46280">
        <w:t>this area.</w:t>
      </w:r>
      <w:r w:rsidR="009C17C1">
        <w:t xml:space="preserve"> </w:t>
      </w:r>
      <w:r>
        <w:t xml:space="preserve">In working with </w:t>
      </w:r>
      <w:r w:rsidR="00C46280">
        <w:t>various</w:t>
      </w:r>
      <w:r>
        <w:t xml:space="preserve"> </w:t>
      </w:r>
      <w:r w:rsidR="00C46280">
        <w:t xml:space="preserve">offices and </w:t>
      </w:r>
      <w:r>
        <w:t xml:space="preserve">constituent groups on </w:t>
      </w:r>
      <w:r w:rsidR="00C46280">
        <w:t>campus</w:t>
      </w:r>
      <w:r w:rsidR="004B76A0">
        <w:t>,</w:t>
      </w:r>
      <w:r>
        <w:t xml:space="preserve"> i</w:t>
      </w:r>
      <w:r w:rsidR="004B76A0">
        <w:t>t</w:t>
      </w:r>
      <w:r>
        <w:t xml:space="preserve"> was </w:t>
      </w:r>
      <w:r w:rsidR="00C46280">
        <w:t xml:space="preserve">determined there was </w:t>
      </w:r>
      <w:r w:rsidR="00C46280" w:rsidRPr="00C46280">
        <w:rPr>
          <w:rStyle w:val="Emphasis"/>
          <w:rFonts w:cs="Arial"/>
          <w:bCs/>
          <w:i w:val="0"/>
          <w:iCs w:val="0"/>
          <w:color w:val="000000" w:themeColor="text1"/>
          <w:shd w:val="clear" w:color="auto" w:fill="FFFFFF"/>
        </w:rPr>
        <w:t>insufficient</w:t>
      </w:r>
      <w:r w:rsidR="00C46280" w:rsidRPr="00C46280">
        <w:rPr>
          <w:rFonts w:cs="Arial"/>
          <w:color w:val="000000" w:themeColor="text1"/>
          <w:shd w:val="clear" w:color="auto" w:fill="FFFFFF"/>
        </w:rPr>
        <w:t> </w:t>
      </w:r>
      <w:r w:rsidR="00C46280">
        <w:t>bandwidth and resources available to develop the area in most locations.</w:t>
      </w:r>
      <w:r w:rsidR="009C17C1">
        <w:t xml:space="preserve"> </w:t>
      </w:r>
      <w:r w:rsidR="00C46280">
        <w:t xml:space="preserve">Progress has been made in this area as the U of Idaho has now begun the implementation of </w:t>
      </w:r>
      <w:proofErr w:type="spellStart"/>
      <w:r w:rsidR="00C46280">
        <w:t>VandalStar</w:t>
      </w:r>
      <w:proofErr w:type="spellEnd"/>
      <w:r w:rsidR="00C46280">
        <w:t>.</w:t>
      </w:r>
      <w:r w:rsidR="009C17C1">
        <w:t xml:space="preserve"> </w:t>
      </w:r>
      <w:r w:rsidR="00380EEE">
        <w:t>Additionally,</w:t>
      </w:r>
      <w:r w:rsidR="00C46280">
        <w:t xml:space="preserve"> a Student Experience Survey is being piloted and developed within IEA.</w:t>
      </w:r>
      <w:r w:rsidR="009C17C1">
        <w:t xml:space="preserve"> </w:t>
      </w:r>
      <w:r w:rsidR="00C46280">
        <w:t xml:space="preserve">IEA, working with </w:t>
      </w:r>
      <w:r w:rsidR="004B76A0">
        <w:t xml:space="preserve">both </w:t>
      </w:r>
      <w:r w:rsidR="00C46280">
        <w:t>the Student Success Office and Advising, has begun the reallocation of resources from the current Freshman Survey (CIRP) towards Engage (ACT).</w:t>
      </w:r>
      <w:r w:rsidR="009C17C1">
        <w:t xml:space="preserve"> </w:t>
      </w:r>
      <w:r w:rsidR="00C46280">
        <w:t xml:space="preserve">This will provide additional actionable information for </w:t>
      </w:r>
      <w:r w:rsidR="006864C7">
        <w:t xml:space="preserve">offices of </w:t>
      </w:r>
      <w:r w:rsidR="00C46280">
        <w:t>Student Support and Advising as well as aid in the</w:t>
      </w:r>
      <w:r w:rsidR="006864C7">
        <w:t xml:space="preserve"> development of </w:t>
      </w:r>
      <w:r w:rsidR="00C46280">
        <w:t>future models.</w:t>
      </w:r>
      <w:r w:rsidR="009C17C1">
        <w:t xml:space="preserve"> </w:t>
      </w:r>
    </w:p>
    <w:p w14:paraId="55486419" w14:textId="4C0FA7A4" w:rsidR="008C085C" w:rsidRDefault="008C085C" w:rsidP="00114B6F">
      <w:pPr>
        <w:ind w:firstLine="720"/>
      </w:pPr>
      <w:r>
        <w:t>A review of the literature</w:t>
      </w:r>
      <w:r w:rsidR="00CF6557">
        <w:t xml:space="preserve"> is provided at </w:t>
      </w:r>
      <w:r w:rsidR="00D46DF9">
        <w:t>t</w:t>
      </w:r>
      <w:r w:rsidR="00CF6557">
        <w:t>he end of</w:t>
      </w:r>
      <w:r w:rsidR="00D46DF9">
        <w:t xml:space="preserve"> this paper.</w:t>
      </w:r>
      <w:r>
        <w:t xml:space="preserve"> An understanding of these data is framed from the Bean and Eaton model of retention. </w:t>
      </w:r>
      <w:r w:rsidR="00C46280">
        <w:t xml:space="preserve">The reference list at the end includes some of the material that was used in the literature review. </w:t>
      </w:r>
    </w:p>
    <w:p w14:paraId="578818A2" w14:textId="79282DFE" w:rsidR="00BD7482" w:rsidRDefault="005731A3" w:rsidP="00256FC3">
      <w:pPr>
        <w:spacing w:after="0"/>
        <w:jc w:val="center"/>
      </w:pPr>
      <w:r>
        <w:rPr>
          <w:noProof/>
        </w:rPr>
        <w:drawing>
          <wp:inline distT="0" distB="0" distL="0" distR="0" wp14:anchorId="4AF73EA0" wp14:editId="06929C18">
            <wp:extent cx="4342943" cy="3215912"/>
            <wp:effectExtent l="57150" t="57150" r="95885" b="990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50701" cy="3221656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14:paraId="5845769C" w14:textId="56ED5EB5" w:rsidR="00BD7482" w:rsidRPr="006F432E" w:rsidRDefault="006F432E" w:rsidP="00256FC3">
      <w:pPr>
        <w:ind w:left="1440" w:right="1440"/>
        <w:rPr>
          <w:i/>
          <w:sz w:val="18"/>
        </w:rPr>
      </w:pPr>
      <w:r w:rsidRPr="006F432E">
        <w:rPr>
          <w:i/>
          <w:sz w:val="18"/>
        </w:rPr>
        <w:t>From Herzog, (02-21-2019), Student Success Perditions at your fingertips: Developing</w:t>
      </w:r>
      <w:r w:rsidR="009C17C1">
        <w:rPr>
          <w:i/>
          <w:sz w:val="18"/>
        </w:rPr>
        <w:t xml:space="preserve"> </w:t>
      </w:r>
      <w:r w:rsidR="00420432">
        <w:rPr>
          <w:i/>
          <w:sz w:val="18"/>
        </w:rPr>
        <w:t>o</w:t>
      </w:r>
      <w:r w:rsidRPr="006F432E">
        <w:rPr>
          <w:i/>
          <w:sz w:val="18"/>
        </w:rPr>
        <w:t>nline dashboards with Microsoft Power BI.</w:t>
      </w:r>
    </w:p>
    <w:p w14:paraId="1EC3A033" w14:textId="5A010F83" w:rsidR="005A64B0" w:rsidRDefault="00951134" w:rsidP="001424C4">
      <w:pPr>
        <w:pStyle w:val="Heading2"/>
      </w:pPr>
      <w:bookmarkStart w:id="3" w:name="_Toc2259604"/>
      <w:r>
        <w:lastRenderedPageBreak/>
        <w:t>Phase 1: Forensic Model</w:t>
      </w:r>
      <w:r w:rsidR="005A64B0">
        <w:t>:</w:t>
      </w:r>
      <w:bookmarkEnd w:id="3"/>
    </w:p>
    <w:p w14:paraId="139BFCA7" w14:textId="23F9530E" w:rsidR="00A24B73" w:rsidRDefault="00A24B73" w:rsidP="00A24B73">
      <w:pPr>
        <w:pStyle w:val="Heading3"/>
        <w:ind w:firstLine="720"/>
      </w:pPr>
      <w:bookmarkStart w:id="4" w:name="_Toc2259605"/>
      <w:r>
        <w:t>Background</w:t>
      </w:r>
      <w:bookmarkEnd w:id="4"/>
    </w:p>
    <w:p w14:paraId="4DE3DB1B" w14:textId="09AB1447" w:rsidR="00A24B73" w:rsidRDefault="00821355" w:rsidP="00114B6F">
      <w:pPr>
        <w:ind w:firstLine="720"/>
      </w:pPr>
      <w:r>
        <w:t>Phase one</w:t>
      </w:r>
      <w:r w:rsidR="00C326E3">
        <w:t xml:space="preserve"> in the process of developing a </w:t>
      </w:r>
      <w:r>
        <w:t>predictive</w:t>
      </w:r>
      <w:r w:rsidR="00C326E3">
        <w:t xml:space="preserve"> model is the development of a model that accounts for the</w:t>
      </w:r>
      <w:r w:rsidR="007D2479">
        <w:t xml:space="preserve"> historical pathways</w:t>
      </w:r>
      <w:r w:rsidR="00C326E3">
        <w:t xml:space="preserve"> a student </w:t>
      </w:r>
      <w:r w:rsidR="00775C50">
        <w:t xml:space="preserve">may have used to </w:t>
      </w:r>
      <w:r w:rsidR="00C326E3">
        <w:t>leave the university.</w:t>
      </w:r>
      <w:r w:rsidR="009C17C1">
        <w:t xml:space="preserve"> </w:t>
      </w:r>
      <w:r>
        <w:t>This model will be called the Forensic Model.</w:t>
      </w:r>
      <w:r w:rsidR="00382ED7">
        <w:t xml:space="preserve"> It </w:t>
      </w:r>
      <w:r w:rsidR="009E01E2">
        <w:t xml:space="preserve">is based on </w:t>
      </w:r>
      <w:r w:rsidR="00382ED7">
        <w:t>data from 2012-201</w:t>
      </w:r>
      <w:r w:rsidR="009E01E2">
        <w:t xml:space="preserve">7. </w:t>
      </w:r>
      <w:r w:rsidR="00C326E3">
        <w:t xml:space="preserve"> Some of t</w:t>
      </w:r>
      <w:r w:rsidR="002E189C">
        <w:t xml:space="preserve">he points of exodus </w:t>
      </w:r>
      <w:r w:rsidR="00C326E3">
        <w:t>may be viewed as</w:t>
      </w:r>
      <w:r w:rsidR="006864C7">
        <w:t xml:space="preserve"> desirable</w:t>
      </w:r>
      <w:r w:rsidR="00C326E3">
        <w:t xml:space="preserve"> (graduation) and others less positive (stop/drop out)</w:t>
      </w:r>
      <w:r>
        <w:t>.</w:t>
      </w:r>
      <w:r w:rsidR="009C17C1">
        <w:t xml:space="preserve"> </w:t>
      </w:r>
      <w:r w:rsidR="002E189C">
        <w:t>Developing this understanding of the historical</w:t>
      </w:r>
      <w:r>
        <w:t xml:space="preserve"> predictors of the student’s exodus helps </w:t>
      </w:r>
      <w:r w:rsidR="002E189C">
        <w:t>to</w:t>
      </w:r>
      <w:r>
        <w:t xml:space="preserve"> inform the development of </w:t>
      </w:r>
      <w:r w:rsidR="002E189C">
        <w:t>the</w:t>
      </w:r>
      <w:r>
        <w:t xml:space="preserve"> predictive model.</w:t>
      </w:r>
      <w:r w:rsidR="009C17C1">
        <w:t xml:space="preserve"> </w:t>
      </w:r>
      <w:r w:rsidR="005E7634">
        <w:t>The Forensic Model</w:t>
      </w:r>
      <w:r>
        <w:t xml:space="preserve"> provides clues to </w:t>
      </w:r>
      <w:r w:rsidR="005E7634">
        <w:t xml:space="preserve">key focus areas and locates possible </w:t>
      </w:r>
      <w:r>
        <w:t>missing data elements</w:t>
      </w:r>
      <w:r w:rsidR="005E7634">
        <w:t>.</w:t>
      </w:r>
      <w:r w:rsidR="009C17C1">
        <w:t xml:space="preserve"> </w:t>
      </w:r>
      <w:r w:rsidR="006D234C">
        <w:t>It is also used to refine the model over time.</w:t>
      </w:r>
      <w:r w:rsidR="009C17C1">
        <w:t xml:space="preserve"> </w:t>
      </w:r>
    </w:p>
    <w:p w14:paraId="55E76988" w14:textId="22011CF6" w:rsidR="005A64B0" w:rsidRDefault="005A64B0" w:rsidP="00114B6F">
      <w:pPr>
        <w:ind w:firstLine="720"/>
      </w:pPr>
      <w:r>
        <w:t xml:space="preserve">Based on the literature review and </w:t>
      </w:r>
      <w:r w:rsidR="00A24B73">
        <w:t xml:space="preserve">review of </w:t>
      </w:r>
      <w:r>
        <w:t>previous models an</w:t>
      </w:r>
      <w:r w:rsidR="00A24B73">
        <w:t xml:space="preserve"> initial Forensic Model was developed.</w:t>
      </w:r>
      <w:r w:rsidR="009C17C1">
        <w:t xml:space="preserve"> </w:t>
      </w:r>
      <w:r>
        <w:t>This model includ</w:t>
      </w:r>
      <w:r w:rsidR="00A24B73">
        <w:t>ed</w:t>
      </w:r>
      <w:r>
        <w:t xml:space="preserve"> all underg</w:t>
      </w:r>
      <w:bookmarkStart w:id="5" w:name="_GoBack"/>
      <w:bookmarkEnd w:id="5"/>
      <w:r>
        <w:t>raduate students.</w:t>
      </w:r>
      <w:r w:rsidR="009C17C1">
        <w:t xml:space="preserve"> </w:t>
      </w:r>
      <w:r w:rsidR="00A24B73">
        <w:t xml:space="preserve">Data </w:t>
      </w:r>
      <w:r w:rsidR="000156F7">
        <w:t>were</w:t>
      </w:r>
      <w:r w:rsidR="00A24B73">
        <w:t xml:space="preserve"> explored in various ways including recoding of v</w:t>
      </w:r>
      <w:r>
        <w:t xml:space="preserve">arious factors such as ethnicity, </w:t>
      </w:r>
      <w:r w:rsidR="004B76A0">
        <w:t xml:space="preserve">and </w:t>
      </w:r>
      <w:r>
        <w:t>class level as binary (0 or 1)</w:t>
      </w:r>
      <w:r w:rsidR="004B76A0">
        <w:t>,</w:t>
      </w:r>
      <w:r>
        <w:t xml:space="preserve"> </w:t>
      </w:r>
      <w:r w:rsidR="00A24B73">
        <w:t>to better understand the role of these attributes in the final model.</w:t>
      </w:r>
      <w:r w:rsidR="009C17C1">
        <w:t xml:space="preserve"> </w:t>
      </w:r>
      <w:r>
        <w:t xml:space="preserve">The predicted outcome </w:t>
      </w:r>
      <w:r w:rsidR="00003D7E">
        <w:t xml:space="preserve">was </w:t>
      </w:r>
      <w:r w:rsidR="004B76A0">
        <w:t>“</w:t>
      </w:r>
      <w:r w:rsidR="00003D7E">
        <w:t>not registered</w:t>
      </w:r>
      <w:r w:rsidR="004B76A0">
        <w:t>”</w:t>
      </w:r>
      <w:r w:rsidR="00003D7E">
        <w:t xml:space="preserve"> the next fall. The outcome variable was coded as a 1 if the student was</w:t>
      </w:r>
      <w:r>
        <w:t xml:space="preserve"> registered at Census </w:t>
      </w:r>
      <w:r w:rsidR="004B76A0">
        <w:t xml:space="preserve">in </w:t>
      </w:r>
      <w:r>
        <w:t xml:space="preserve">the fall and 0 </w:t>
      </w:r>
      <w:r w:rsidR="00003D7E">
        <w:t>if</w:t>
      </w:r>
      <w:r>
        <w:t xml:space="preserve"> the student was not registered.</w:t>
      </w:r>
      <w:r w:rsidR="009C17C1">
        <w:t xml:space="preserve"> </w:t>
      </w:r>
      <w:r w:rsidR="00636721">
        <w:t xml:space="preserve">The initial base model saw a relative lack of fit (Pearson) and suggested there was a need to deal with outliers. </w:t>
      </w:r>
      <w:r w:rsidR="006D234C">
        <w:t>The typical process was followed of developing a rough model and then outliers were removed.</w:t>
      </w:r>
      <w:r w:rsidR="009C17C1">
        <w:t xml:space="preserve"> </w:t>
      </w:r>
      <w:r w:rsidR="00D34509">
        <w:t>Further</w:t>
      </w:r>
      <w:r w:rsidR="004B76A0">
        <w:t>,</w:t>
      </w:r>
      <w:r w:rsidR="00D34509">
        <w:t xml:space="preserve"> as the high school variables were non-significant in the base model and they were high</w:t>
      </w:r>
      <w:r w:rsidR="004B76A0">
        <w:t>-</w:t>
      </w:r>
      <w:r w:rsidR="00D34509">
        <w:t>percentage missing value items constituting a large loss of the sample</w:t>
      </w:r>
      <w:r w:rsidR="004B76A0">
        <w:t>,</w:t>
      </w:r>
      <w:r w:rsidR="00D34509">
        <w:t xml:space="preserve"> they were excluded from the trimmed model.</w:t>
      </w:r>
      <w:r w:rsidR="00725917">
        <w:t xml:space="preserve"> Tuition base was also not significant and was removed from the model.</w:t>
      </w:r>
    </w:p>
    <w:p w14:paraId="4B3FA277" w14:textId="71422555" w:rsidR="009E3D75" w:rsidRDefault="005731A3" w:rsidP="00114B6F">
      <w:pPr>
        <w:ind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DEA500" wp14:editId="19C27ECF">
            <wp:simplePos x="0" y="0"/>
            <wp:positionH relativeFrom="column">
              <wp:posOffset>3409496</wp:posOffset>
            </wp:positionH>
            <wp:positionV relativeFrom="paragraph">
              <wp:posOffset>68671</wp:posOffset>
            </wp:positionV>
            <wp:extent cx="2687139" cy="2687139"/>
            <wp:effectExtent l="57150" t="57150" r="132715" b="132715"/>
            <wp:wrapSquare wrapText="bothSides"/>
            <wp:docPr id="3" name="Picture 2" descr="img1.png">
              <a:extLst xmlns:a="http://schemas.openxmlformats.org/drawingml/2006/main">
                <a:ext uri="{FF2B5EF4-FFF2-40B4-BE49-F238E27FC236}">
                  <a16:creationId xmlns:a16="http://schemas.microsoft.com/office/drawing/2014/main" id="{568239EE-6E76-407E-87C5-81C816DD42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mg1.png">
                      <a:extLst>
                        <a:ext uri="{FF2B5EF4-FFF2-40B4-BE49-F238E27FC236}">
                          <a16:creationId xmlns:a16="http://schemas.microsoft.com/office/drawing/2014/main" id="{568239EE-6E76-407E-87C5-81C816DD42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139" cy="2687139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  <a:extLst/>
                  </pic:spPr>
                </pic:pic>
              </a:graphicData>
            </a:graphic>
          </wp:anchor>
        </w:drawing>
      </w:r>
      <w:r w:rsidR="00052422">
        <w:t xml:space="preserve">The </w:t>
      </w:r>
      <w:r w:rsidR="00250CF9">
        <w:t xml:space="preserve">trimmed </w:t>
      </w:r>
      <w:r w:rsidR="00586C4F">
        <w:t xml:space="preserve">Forensic </w:t>
      </w:r>
      <w:r w:rsidR="00052422">
        <w:t xml:space="preserve">model </w:t>
      </w:r>
      <w:r w:rsidR="006864C7">
        <w:t>completed appropriately (found solution)</w:t>
      </w:r>
      <w:r w:rsidR="00052422">
        <w:t>.</w:t>
      </w:r>
      <w:r w:rsidR="009C17C1">
        <w:t xml:space="preserve"> </w:t>
      </w:r>
      <w:r w:rsidR="00052422">
        <w:t xml:space="preserve">The overall model has an area under the curve (ROC) of </w:t>
      </w:r>
      <w:r w:rsidR="006D234C">
        <w:t>0</w:t>
      </w:r>
      <w:r w:rsidR="00205E38">
        <w:t>.</w:t>
      </w:r>
      <w:r w:rsidR="006D234C">
        <w:t>9</w:t>
      </w:r>
      <w:r w:rsidR="00EB3D41">
        <w:t>4</w:t>
      </w:r>
      <w:r w:rsidR="00052422">
        <w:t xml:space="preserve">, </w:t>
      </w:r>
      <w:r w:rsidR="002D3AB5">
        <w:t>and rescaled R-Square of 0.6</w:t>
      </w:r>
      <w:r w:rsidR="00EB3D41">
        <w:t>4</w:t>
      </w:r>
      <w:r w:rsidR="00052422">
        <w:t>.</w:t>
      </w:r>
      <w:r w:rsidR="00583812">
        <w:t xml:space="preserve"> Pearson Goodness of fit indicated a reasonable fit of the model to the data.</w:t>
      </w:r>
      <w:r w:rsidR="009C17C1">
        <w:t xml:space="preserve"> </w:t>
      </w:r>
      <w:r w:rsidR="00052422">
        <w:t>This is a relatively strong model that is consistent wit</w:t>
      </w:r>
      <w:r w:rsidR="001B2077">
        <w:t>h information available</w:t>
      </w:r>
      <w:r w:rsidR="00556F57">
        <w:t xml:space="preserve"> from the literature and conferences</w:t>
      </w:r>
      <w:r w:rsidR="001B2077">
        <w:t>.</w:t>
      </w:r>
      <w:r w:rsidR="009C17C1">
        <w:t xml:space="preserve"> </w:t>
      </w:r>
    </w:p>
    <w:p w14:paraId="463EE15E" w14:textId="35070CA8" w:rsidR="00A509CB" w:rsidRDefault="004E1AE3" w:rsidP="00114B6F">
      <w:pPr>
        <w:ind w:firstLine="720"/>
      </w:pPr>
      <w:r>
        <w:t xml:space="preserve">The relative importance of the various elements in the model </w:t>
      </w:r>
      <w:r w:rsidR="00B5031E">
        <w:t>accounting for</w:t>
      </w:r>
      <w:r>
        <w:t xml:space="preserve"> student exodus is shown in the </w:t>
      </w:r>
      <w:r w:rsidR="00B5031E">
        <w:t>chart</w:t>
      </w:r>
      <w:r>
        <w:t xml:space="preserve"> below.</w:t>
      </w:r>
      <w:r w:rsidR="009C17C1">
        <w:t xml:space="preserve"> </w:t>
      </w:r>
      <w:r>
        <w:t>We see the largest factor by far associated with leaving U of Idaho is graduation.</w:t>
      </w:r>
      <w:r w:rsidR="009C17C1">
        <w:t xml:space="preserve"> </w:t>
      </w:r>
      <w:r>
        <w:t xml:space="preserve">The next group, or natural break, begins </w:t>
      </w:r>
      <w:r w:rsidR="006E22CC">
        <w:t xml:space="preserve">with </w:t>
      </w:r>
      <w:r w:rsidR="002E7624">
        <w:t>Freshman Standing a</w:t>
      </w:r>
      <w:r w:rsidR="00BB337D">
        <w:t>nd is followed</w:t>
      </w:r>
      <w:r w:rsidR="002E7624">
        <w:t xml:space="preserve"> by</w:t>
      </w:r>
      <w:r w:rsidR="00B02493">
        <w:t xml:space="preserve"> Junior Standing</w:t>
      </w:r>
      <w:r w:rsidR="002E7624">
        <w:t>.</w:t>
      </w:r>
      <w:r w:rsidR="009C17C1">
        <w:t xml:space="preserve"> </w:t>
      </w:r>
      <w:r w:rsidR="002E7624">
        <w:t>The next natural break appears to begin with CUM hours earned followed by End</w:t>
      </w:r>
      <w:r w:rsidR="000E7CFA">
        <w:t>-</w:t>
      </w:r>
      <w:r w:rsidR="002E7624">
        <w:t>of</w:t>
      </w:r>
      <w:r w:rsidR="000E7CFA">
        <w:t>-</w:t>
      </w:r>
      <w:r w:rsidR="002E7624">
        <w:t>term GPA.</w:t>
      </w:r>
      <w:r w:rsidR="009C17C1">
        <w:t xml:space="preserve"> </w:t>
      </w:r>
      <w:r w:rsidR="002E7624">
        <w:t>T</w:t>
      </w:r>
      <w:r w:rsidR="00866D3F">
        <w:t xml:space="preserve">he </w:t>
      </w:r>
      <w:r w:rsidR="00B02493">
        <w:t>next grouping begins with</w:t>
      </w:r>
      <w:r w:rsidR="002E7624">
        <w:t xml:space="preserve"> End</w:t>
      </w:r>
      <w:r w:rsidR="000E7CFA">
        <w:t>-</w:t>
      </w:r>
      <w:r w:rsidR="002E7624">
        <w:t>of</w:t>
      </w:r>
      <w:r w:rsidR="000E7CFA">
        <w:t>-</w:t>
      </w:r>
      <w:r w:rsidR="002E7624">
        <w:t>term Hours Earned and is followed by Academic</w:t>
      </w:r>
      <w:r w:rsidR="00B02493">
        <w:t xml:space="preserve"> Standing at Census</w:t>
      </w:r>
      <w:r w:rsidR="002E7624">
        <w:t xml:space="preserve"> and</w:t>
      </w:r>
      <w:r w:rsidR="00B02493">
        <w:t xml:space="preserve"> </w:t>
      </w:r>
      <w:r w:rsidR="002E7624">
        <w:t>Institutional Credits.</w:t>
      </w:r>
      <w:r w:rsidR="009C17C1">
        <w:t xml:space="preserve"> </w:t>
      </w:r>
      <w:r w:rsidR="002E7624">
        <w:t>The next grouping appears to start with Sophomore Standing followed by Full</w:t>
      </w:r>
      <w:r w:rsidR="004B76A0">
        <w:t>-</w:t>
      </w:r>
      <w:r w:rsidR="002E7624">
        <w:t>/Part</w:t>
      </w:r>
      <w:r w:rsidR="004B76A0">
        <w:t>-</w:t>
      </w:r>
      <w:r w:rsidR="002E7624">
        <w:t xml:space="preserve">time, New </w:t>
      </w:r>
      <w:r w:rsidR="004B76A0">
        <w:t>T</w:t>
      </w:r>
      <w:r w:rsidR="002E7624">
        <w:t>ransfer</w:t>
      </w:r>
      <w:r w:rsidR="004B76A0">
        <w:t>,</w:t>
      </w:r>
      <w:r w:rsidR="002E7624">
        <w:t xml:space="preserve"> and then New Freshman from High School. </w:t>
      </w:r>
      <w:r w:rsidR="00B02493">
        <w:t xml:space="preserve">The next grouping begins with </w:t>
      </w:r>
      <w:r w:rsidR="00233C56">
        <w:t>Age at Start of Term followed by Gender and International Students.</w:t>
      </w:r>
      <w:r w:rsidR="009C17C1">
        <w:t xml:space="preserve"> </w:t>
      </w:r>
      <w:r w:rsidR="00233C56">
        <w:t>The last set of predictors starts with CUM GPA followed by Unknown race, Campus Housing, First Generation and then Hawaiian or Pacific Islander.</w:t>
      </w:r>
      <w:r w:rsidR="009C17C1">
        <w:t xml:space="preserve"> </w:t>
      </w:r>
    </w:p>
    <w:p w14:paraId="63D68946" w14:textId="09BA9E2A" w:rsidR="009E3D75" w:rsidRDefault="009E3D75" w:rsidP="00A509CB">
      <w:pPr>
        <w:jc w:val="center"/>
      </w:pPr>
    </w:p>
    <w:p w14:paraId="105D9DF7" w14:textId="37FCC8F8" w:rsidR="00747B8B" w:rsidRDefault="00A312B2" w:rsidP="00A312B2">
      <w:r>
        <w:lastRenderedPageBreak/>
        <w:t xml:space="preserve">A summary list of the </w:t>
      </w:r>
      <w:r w:rsidR="0000595B">
        <w:t xml:space="preserve">statistically </w:t>
      </w:r>
      <w:r>
        <w:t xml:space="preserve">significant predictors and their operation is </w:t>
      </w:r>
      <w:r w:rsidR="0047151E">
        <w:t>provided</w:t>
      </w:r>
      <w:r>
        <w:t xml:space="preserve"> below. </w:t>
      </w:r>
    </w:p>
    <w:p w14:paraId="66FF9000" w14:textId="09AB4115" w:rsidR="00B95726" w:rsidRDefault="00B95726" w:rsidP="00B95726">
      <w:pPr>
        <w:pStyle w:val="ListParagraph"/>
        <w:numPr>
          <w:ilvl w:val="0"/>
          <w:numId w:val="9"/>
        </w:numPr>
      </w:pPr>
      <w:r>
        <w:t>Graduated</w:t>
      </w:r>
    </w:p>
    <w:p w14:paraId="75442D48" w14:textId="22527779" w:rsidR="00B95726" w:rsidRDefault="00B95726" w:rsidP="00B95726">
      <w:pPr>
        <w:pStyle w:val="ListParagraph"/>
        <w:numPr>
          <w:ilvl w:val="0"/>
          <w:numId w:val="9"/>
        </w:numPr>
      </w:pPr>
      <w:r>
        <w:t>Freshman</w:t>
      </w:r>
    </w:p>
    <w:p w14:paraId="538A28D4" w14:textId="2DF514CE" w:rsidR="00B95726" w:rsidRDefault="00B95726" w:rsidP="00B95726">
      <w:pPr>
        <w:pStyle w:val="ListParagraph"/>
        <w:numPr>
          <w:ilvl w:val="0"/>
          <w:numId w:val="9"/>
        </w:numPr>
      </w:pPr>
      <w:r>
        <w:t>Junior</w:t>
      </w:r>
    </w:p>
    <w:p w14:paraId="764D28A6" w14:textId="50BE0EEF" w:rsidR="00B95726" w:rsidRDefault="005731A3" w:rsidP="00B95726">
      <w:pPr>
        <w:pStyle w:val="ListParagraph"/>
        <w:numPr>
          <w:ilvl w:val="0"/>
          <w:numId w:val="9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29C196" wp14:editId="210B3C16">
            <wp:simplePos x="0" y="0"/>
            <wp:positionH relativeFrom="page">
              <wp:posOffset>3095443</wp:posOffset>
            </wp:positionH>
            <wp:positionV relativeFrom="paragraph">
              <wp:posOffset>181428</wp:posOffset>
            </wp:positionV>
            <wp:extent cx="4406900" cy="2719070"/>
            <wp:effectExtent l="0" t="0" r="0" b="508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726">
        <w:t>Cumulative Earned Hours</w:t>
      </w:r>
    </w:p>
    <w:p w14:paraId="091D6E21" w14:textId="69A89446" w:rsidR="00B95726" w:rsidRDefault="00B95726" w:rsidP="00B95726">
      <w:pPr>
        <w:pStyle w:val="ListParagraph"/>
        <w:numPr>
          <w:ilvl w:val="0"/>
          <w:numId w:val="9"/>
        </w:numPr>
      </w:pPr>
      <w:r>
        <w:t>End</w:t>
      </w:r>
      <w:r w:rsidR="000E7CFA">
        <w:t>-</w:t>
      </w:r>
      <w:r>
        <w:t>of</w:t>
      </w:r>
      <w:r w:rsidR="000E7CFA">
        <w:t>-</w:t>
      </w:r>
      <w:r>
        <w:t>Term GPA</w:t>
      </w:r>
    </w:p>
    <w:p w14:paraId="4916AB59" w14:textId="43A28F21" w:rsidR="00B95726" w:rsidRDefault="00B95726" w:rsidP="00B95726">
      <w:pPr>
        <w:pStyle w:val="ListParagraph"/>
        <w:numPr>
          <w:ilvl w:val="0"/>
          <w:numId w:val="9"/>
        </w:numPr>
      </w:pPr>
      <w:r>
        <w:t>End</w:t>
      </w:r>
      <w:r w:rsidR="000E7CFA">
        <w:t>-</w:t>
      </w:r>
      <w:r>
        <w:t>of</w:t>
      </w:r>
      <w:r w:rsidR="000E7CFA">
        <w:t>-</w:t>
      </w:r>
      <w:r>
        <w:t>Term Hours Earned</w:t>
      </w:r>
    </w:p>
    <w:p w14:paraId="05B85A7D" w14:textId="405B9E0F" w:rsidR="00B95726" w:rsidRDefault="00B95726" w:rsidP="00B95726">
      <w:pPr>
        <w:pStyle w:val="ListParagraph"/>
        <w:numPr>
          <w:ilvl w:val="0"/>
          <w:numId w:val="9"/>
        </w:numPr>
      </w:pPr>
      <w:r>
        <w:t>Academic Standing Census</w:t>
      </w:r>
    </w:p>
    <w:p w14:paraId="0C742922" w14:textId="77777777" w:rsidR="00B95726" w:rsidRDefault="00B95726" w:rsidP="00B95726">
      <w:pPr>
        <w:pStyle w:val="ListParagraph"/>
        <w:numPr>
          <w:ilvl w:val="0"/>
          <w:numId w:val="9"/>
        </w:numPr>
      </w:pPr>
      <w:r>
        <w:t>Institutional Credit</w:t>
      </w:r>
    </w:p>
    <w:p w14:paraId="5F5AA7E9" w14:textId="77777777" w:rsidR="00B95726" w:rsidRDefault="00B95726" w:rsidP="00B95726">
      <w:pPr>
        <w:pStyle w:val="ListParagraph"/>
        <w:numPr>
          <w:ilvl w:val="0"/>
          <w:numId w:val="9"/>
        </w:numPr>
      </w:pPr>
      <w:r>
        <w:t>Sophomore</w:t>
      </w:r>
    </w:p>
    <w:p w14:paraId="33E87614" w14:textId="4E59C8B8" w:rsidR="00B95726" w:rsidRDefault="00B95726" w:rsidP="00B95726">
      <w:pPr>
        <w:pStyle w:val="ListParagraph"/>
        <w:numPr>
          <w:ilvl w:val="0"/>
          <w:numId w:val="9"/>
        </w:numPr>
      </w:pPr>
      <w:r>
        <w:t>Full</w:t>
      </w:r>
      <w:r w:rsidR="004B76A0">
        <w:t>-</w:t>
      </w:r>
      <w:r>
        <w:t xml:space="preserve"> or Part</w:t>
      </w:r>
      <w:r w:rsidR="004B76A0">
        <w:t>-</w:t>
      </w:r>
      <w:r>
        <w:t>time</w:t>
      </w:r>
    </w:p>
    <w:p w14:paraId="7806AE56" w14:textId="6576229E" w:rsidR="00B95726" w:rsidRDefault="00B95726" w:rsidP="00B95726">
      <w:pPr>
        <w:pStyle w:val="ListParagraph"/>
        <w:numPr>
          <w:ilvl w:val="0"/>
          <w:numId w:val="9"/>
        </w:numPr>
      </w:pPr>
      <w:r>
        <w:t xml:space="preserve">New </w:t>
      </w:r>
      <w:r w:rsidR="004B76A0">
        <w:t>T</w:t>
      </w:r>
      <w:r>
        <w:t>ransfer</w:t>
      </w:r>
    </w:p>
    <w:p w14:paraId="335B079D" w14:textId="77777777" w:rsidR="00B95726" w:rsidRDefault="00B95726" w:rsidP="00B95726">
      <w:pPr>
        <w:pStyle w:val="ListParagraph"/>
        <w:numPr>
          <w:ilvl w:val="0"/>
          <w:numId w:val="9"/>
        </w:numPr>
      </w:pPr>
      <w:r>
        <w:t>New Freshman from HS</w:t>
      </w:r>
    </w:p>
    <w:p w14:paraId="463FDAF1" w14:textId="77777777" w:rsidR="00B95726" w:rsidRDefault="00B95726" w:rsidP="00B95726">
      <w:pPr>
        <w:pStyle w:val="ListParagraph"/>
        <w:numPr>
          <w:ilvl w:val="0"/>
          <w:numId w:val="9"/>
        </w:numPr>
      </w:pPr>
      <w:r>
        <w:t>Age at Start of term</w:t>
      </w:r>
    </w:p>
    <w:p w14:paraId="1ABF1F47" w14:textId="77777777" w:rsidR="00B95726" w:rsidRDefault="00B95726" w:rsidP="00B95726">
      <w:pPr>
        <w:pStyle w:val="ListParagraph"/>
        <w:numPr>
          <w:ilvl w:val="0"/>
          <w:numId w:val="9"/>
        </w:numPr>
      </w:pPr>
      <w:r>
        <w:t>Gender</w:t>
      </w:r>
    </w:p>
    <w:p w14:paraId="311FA476" w14:textId="77777777" w:rsidR="00B95726" w:rsidRDefault="00B95726" w:rsidP="00B95726">
      <w:pPr>
        <w:pStyle w:val="ListParagraph"/>
        <w:numPr>
          <w:ilvl w:val="0"/>
          <w:numId w:val="9"/>
        </w:numPr>
      </w:pPr>
      <w:r>
        <w:t>International Student</w:t>
      </w:r>
    </w:p>
    <w:p w14:paraId="25F50927" w14:textId="77777777" w:rsidR="00B95726" w:rsidRDefault="00B95726" w:rsidP="00B95726">
      <w:pPr>
        <w:pStyle w:val="ListParagraph"/>
        <w:numPr>
          <w:ilvl w:val="0"/>
          <w:numId w:val="9"/>
        </w:numPr>
      </w:pPr>
      <w:r>
        <w:t>Tuition Aid Difference</w:t>
      </w:r>
    </w:p>
    <w:p w14:paraId="446CDF2E" w14:textId="77777777" w:rsidR="00B95726" w:rsidRDefault="00B95726" w:rsidP="00B95726">
      <w:pPr>
        <w:pStyle w:val="ListParagraph"/>
        <w:numPr>
          <w:ilvl w:val="0"/>
          <w:numId w:val="9"/>
        </w:numPr>
      </w:pPr>
      <w:r>
        <w:t>CUM GPA</w:t>
      </w:r>
    </w:p>
    <w:p w14:paraId="1FBAC287" w14:textId="77777777" w:rsidR="00B95726" w:rsidRDefault="00B95726" w:rsidP="00B95726">
      <w:pPr>
        <w:pStyle w:val="ListParagraph"/>
        <w:numPr>
          <w:ilvl w:val="0"/>
          <w:numId w:val="9"/>
        </w:numPr>
      </w:pPr>
      <w:r>
        <w:t>Unknow race</w:t>
      </w:r>
    </w:p>
    <w:p w14:paraId="5AC56E36" w14:textId="77777777" w:rsidR="00B95726" w:rsidRDefault="00B95726" w:rsidP="00B95726">
      <w:pPr>
        <w:pStyle w:val="ListParagraph"/>
        <w:numPr>
          <w:ilvl w:val="0"/>
          <w:numId w:val="9"/>
        </w:numPr>
      </w:pPr>
      <w:r>
        <w:t>Campus Housing</w:t>
      </w:r>
    </w:p>
    <w:p w14:paraId="0E8E44EB" w14:textId="77777777" w:rsidR="00780EF0" w:rsidRDefault="00B95726" w:rsidP="00103E74">
      <w:pPr>
        <w:pStyle w:val="ListParagraph"/>
        <w:numPr>
          <w:ilvl w:val="0"/>
          <w:numId w:val="9"/>
        </w:numPr>
      </w:pPr>
      <w:r>
        <w:t>First Generation</w:t>
      </w:r>
    </w:p>
    <w:p w14:paraId="497DE4E9" w14:textId="77777777" w:rsidR="00780EF0" w:rsidRDefault="00B95726" w:rsidP="00103E74">
      <w:pPr>
        <w:pStyle w:val="ListParagraph"/>
        <w:numPr>
          <w:ilvl w:val="0"/>
          <w:numId w:val="9"/>
        </w:numPr>
      </w:pPr>
      <w:r>
        <w:t xml:space="preserve">Hawaiian or Pac. Isl. </w:t>
      </w:r>
    </w:p>
    <w:p w14:paraId="639BA79E" w14:textId="6315432E" w:rsidR="001E36AB" w:rsidRDefault="001E36AB" w:rsidP="00114B6F">
      <w:pPr>
        <w:ind w:firstLine="360"/>
      </w:pPr>
      <w:r>
        <w:t xml:space="preserve">In the trimmed Forensic model, we can see the interaction of non-retention and graduation happening with the </w:t>
      </w:r>
      <w:r w:rsidR="00780EF0">
        <w:t xml:space="preserve">mix of </w:t>
      </w:r>
      <w:r>
        <w:t>various elements.</w:t>
      </w:r>
      <w:r w:rsidR="009C17C1">
        <w:t xml:space="preserve"> </w:t>
      </w:r>
      <w:r>
        <w:t>For example, seniors, who have higher cumulative credit hours earned, more institutional credit hours</w:t>
      </w:r>
      <w:r w:rsidR="000E7CFA">
        <w:t>,</w:t>
      </w:r>
      <w:r>
        <w:t xml:space="preserve"> and </w:t>
      </w:r>
      <w:r w:rsidR="000E7CFA">
        <w:t xml:space="preserve">who </w:t>
      </w:r>
      <w:r>
        <w:t>tend to be older</w:t>
      </w:r>
      <w:r w:rsidR="000E7CFA">
        <w:t>,</w:t>
      </w:r>
      <w:r>
        <w:t xml:space="preserve"> </w:t>
      </w:r>
      <w:r w:rsidR="009C17C1">
        <w:t xml:space="preserve">exit </w:t>
      </w:r>
      <w:r>
        <w:t>through graduation.</w:t>
      </w:r>
      <w:r w:rsidR="009C17C1">
        <w:t xml:space="preserve"> </w:t>
      </w:r>
      <w:r>
        <w:t>The end</w:t>
      </w:r>
      <w:r w:rsidR="000E7CFA">
        <w:t>-</w:t>
      </w:r>
      <w:r>
        <w:t>of</w:t>
      </w:r>
      <w:r w:rsidR="000E7CFA">
        <w:t>-</w:t>
      </w:r>
      <w:r>
        <w:t xml:space="preserve">term GPA tends to pick up early campus exodus as much as it does academics. </w:t>
      </w:r>
      <w:r w:rsidR="00802045">
        <w:t>It and lower cum</w:t>
      </w:r>
      <w:r w:rsidR="009C17C1">
        <w:t>ulative</w:t>
      </w:r>
      <w:r w:rsidR="00802045">
        <w:t xml:space="preserve"> GPA and new freshman from HS tend to exodus due to non-retention.</w:t>
      </w:r>
      <w:r w:rsidR="009C17C1">
        <w:t xml:space="preserve"> </w:t>
      </w:r>
    </w:p>
    <w:p w14:paraId="062C40E5" w14:textId="339123EC" w:rsidR="005A64B0" w:rsidRDefault="00090754" w:rsidP="009D4ADF">
      <w:pPr>
        <w:pStyle w:val="Heading2"/>
      </w:pPr>
      <w:bookmarkStart w:id="6" w:name="_Toc2259606"/>
      <w:r>
        <w:t xml:space="preserve">Phase 2: </w:t>
      </w:r>
      <w:r w:rsidR="007C5E17">
        <w:t xml:space="preserve">General </w:t>
      </w:r>
      <w:r>
        <w:t xml:space="preserve">Undergraduate </w:t>
      </w:r>
      <w:r w:rsidR="007C5E17">
        <w:t xml:space="preserve">Predictive </w:t>
      </w:r>
      <w:r w:rsidR="001424C4">
        <w:t>Model:</w:t>
      </w:r>
      <w:bookmarkEnd w:id="6"/>
    </w:p>
    <w:p w14:paraId="621BD206" w14:textId="0C575E5D" w:rsidR="00090754" w:rsidRPr="00090754" w:rsidRDefault="00090754" w:rsidP="00090754">
      <w:pPr>
        <w:pStyle w:val="Heading3"/>
      </w:pPr>
      <w:bookmarkStart w:id="7" w:name="_Toc2259607"/>
      <w:r>
        <w:t>Background</w:t>
      </w:r>
      <w:bookmarkEnd w:id="7"/>
    </w:p>
    <w:p w14:paraId="14048095" w14:textId="2728D77E" w:rsidR="00204CEF" w:rsidRDefault="009E01E2" w:rsidP="00114B6F">
      <w:pPr>
        <w:ind w:firstLine="720"/>
      </w:pPr>
      <w:r>
        <w:t>This model is also based on data from 2012-2017</w:t>
      </w:r>
      <w:r w:rsidR="00CE52D7">
        <w:t xml:space="preserve">. </w:t>
      </w:r>
      <w:r w:rsidR="00FD5F98">
        <w:t xml:space="preserve">While the Forensic model provides some understanding of where students have exited the university, it contains several elements that are not useful for predicting risk </w:t>
      </w:r>
      <w:r w:rsidR="009600FC">
        <w:t>of non-retention</w:t>
      </w:r>
      <w:r w:rsidR="00B57A24">
        <w:t>.</w:t>
      </w:r>
      <w:r w:rsidR="009C17C1">
        <w:t xml:space="preserve"> </w:t>
      </w:r>
      <w:r w:rsidR="00B57A24">
        <w:t>It also includes</w:t>
      </w:r>
      <w:r w:rsidR="009600FC">
        <w:t xml:space="preserve"> several elements not available </w:t>
      </w:r>
      <w:r w:rsidR="00FD5F98">
        <w:t>prior to the start of the next term.</w:t>
      </w:r>
      <w:r w:rsidR="009C17C1">
        <w:t xml:space="preserve"> </w:t>
      </w:r>
      <w:r w:rsidR="00303BE4">
        <w:t>Further, g</w:t>
      </w:r>
      <w:r w:rsidR="009B4CA6">
        <w:t>raduation</w:t>
      </w:r>
      <w:r w:rsidR="00FD5F98">
        <w:t xml:space="preserve"> is </w:t>
      </w:r>
      <w:r w:rsidR="00303BE4">
        <w:t xml:space="preserve">typically considered </w:t>
      </w:r>
      <w:r w:rsidR="00FD5F98">
        <w:t>a positive outcome</w:t>
      </w:r>
      <w:r w:rsidR="00303BE4">
        <w:t>.</w:t>
      </w:r>
      <w:r w:rsidR="00FD5F98">
        <w:t xml:space="preserve"> </w:t>
      </w:r>
      <w:r w:rsidR="009600FC">
        <w:t>As such</w:t>
      </w:r>
      <w:r w:rsidR="000E7CFA">
        <w:t>,</w:t>
      </w:r>
      <w:r w:rsidR="009600FC">
        <w:t xml:space="preserve"> the predictive model</w:t>
      </w:r>
      <w:r w:rsidR="0079342E">
        <w:t xml:space="preserve"> needs to use data available, at least by census of the initial term, and focus </w:t>
      </w:r>
      <w:r w:rsidR="009600FC">
        <w:t xml:space="preserve">on </w:t>
      </w:r>
      <w:r w:rsidR="0079342E">
        <w:t>the prediction</w:t>
      </w:r>
      <w:r w:rsidR="000E7CFA">
        <w:t>-</w:t>
      </w:r>
      <w:r w:rsidR="0079342E">
        <w:t>of</w:t>
      </w:r>
      <w:r w:rsidR="000E7CFA">
        <w:t>-</w:t>
      </w:r>
      <w:r w:rsidR="009600FC">
        <w:t>risk students</w:t>
      </w:r>
      <w:r w:rsidR="0079342E">
        <w:t xml:space="preserve"> not returning.</w:t>
      </w:r>
      <w:r w:rsidR="009C17C1">
        <w:t xml:space="preserve"> </w:t>
      </w:r>
      <w:r w:rsidR="0079342E">
        <w:t>The formulation of these models removed those</w:t>
      </w:r>
      <w:r w:rsidR="009600FC">
        <w:t xml:space="preserve"> </w:t>
      </w:r>
      <w:r w:rsidR="00FD5F98">
        <w:t xml:space="preserve">who graduated </w:t>
      </w:r>
      <w:r w:rsidR="0079342E">
        <w:t xml:space="preserve">and targeted the </w:t>
      </w:r>
      <w:r w:rsidR="009600FC">
        <w:t>risk of non-retention.</w:t>
      </w:r>
      <w:r w:rsidR="009C17C1">
        <w:t xml:space="preserve"> </w:t>
      </w:r>
    </w:p>
    <w:p w14:paraId="19746AC2" w14:textId="7E21AB63" w:rsidR="003770C9" w:rsidRDefault="003770C9" w:rsidP="003770C9">
      <w:pPr>
        <w:pStyle w:val="Heading3"/>
      </w:pPr>
      <w:bookmarkStart w:id="8" w:name="_Toc2259608"/>
      <w:r>
        <w:t xml:space="preserve">Treatment of High School data within </w:t>
      </w:r>
      <w:r w:rsidR="00716A89">
        <w:t>G</w:t>
      </w:r>
      <w:r>
        <w:t xml:space="preserve">eneral </w:t>
      </w:r>
      <w:r w:rsidR="00716A89">
        <w:t>U</w:t>
      </w:r>
      <w:r>
        <w:t xml:space="preserve">ndergraduate </w:t>
      </w:r>
      <w:r w:rsidR="00716A89">
        <w:t>M</w:t>
      </w:r>
      <w:r>
        <w:t>odel</w:t>
      </w:r>
      <w:bookmarkEnd w:id="8"/>
    </w:p>
    <w:p w14:paraId="1A34B239" w14:textId="0E663D34" w:rsidR="008519E9" w:rsidRDefault="008519E9" w:rsidP="00114B6F">
      <w:pPr>
        <w:ind w:firstLine="720"/>
      </w:pPr>
      <w:r>
        <w:t xml:space="preserve">An initial exploratory </w:t>
      </w:r>
      <w:r w:rsidR="00794D50">
        <w:t xml:space="preserve">base model </w:t>
      </w:r>
      <w:r w:rsidR="00516D09">
        <w:t xml:space="preserve">included </w:t>
      </w:r>
      <w:r>
        <w:t>multiple elements over the years and has included High</w:t>
      </w:r>
      <w:r w:rsidR="00516D09">
        <w:t xml:space="preserve"> School elements</w:t>
      </w:r>
      <w:r>
        <w:t xml:space="preserve"> and other factors.</w:t>
      </w:r>
      <w:r w:rsidR="009C17C1">
        <w:t xml:space="preserve"> </w:t>
      </w:r>
      <w:r>
        <w:t xml:space="preserve">While High School data is marginally useful for a </w:t>
      </w:r>
      <w:r w:rsidR="00716A89">
        <w:t>G</w:t>
      </w:r>
      <w:r>
        <w:t xml:space="preserve">eneral </w:t>
      </w:r>
      <w:r w:rsidR="00716A89">
        <w:t>U</w:t>
      </w:r>
      <w:r>
        <w:t xml:space="preserve">ndergraduate </w:t>
      </w:r>
      <w:r w:rsidR="00716A89">
        <w:t>M</w:t>
      </w:r>
      <w:r>
        <w:t>odel, it is data with a high percentage of missing values.</w:t>
      </w:r>
      <w:r w:rsidR="009C17C1">
        <w:t xml:space="preserve"> </w:t>
      </w:r>
      <w:r w:rsidR="0019564A">
        <w:t xml:space="preserve">The high school elements of high school rank and class size were significant but the contribution to the model (estimates) were “0” </w:t>
      </w:r>
      <w:r w:rsidR="0019564A">
        <w:lastRenderedPageBreak/>
        <w:t xml:space="preserve">when rounded to </w:t>
      </w:r>
      <w:r w:rsidR="002B2B7D">
        <w:t>two</w:t>
      </w:r>
      <w:r w:rsidR="0019564A">
        <w:t xml:space="preserve"> decimal places and were 0.001 at three.</w:t>
      </w:r>
      <w:r w:rsidR="009C17C1">
        <w:t xml:space="preserve"> </w:t>
      </w:r>
      <w:r>
        <w:t>The amount of missing data exceeds that which can be reasonably addressed with imputation within the general undergraduate student population.</w:t>
      </w:r>
      <w:r w:rsidR="009C17C1">
        <w:t xml:space="preserve"> </w:t>
      </w:r>
      <w:r>
        <w:t>It will likely prove valuable for a model addressing new freshman from high school, or perhaps even freshman level more specifically</w:t>
      </w:r>
      <w:r w:rsidR="002B2B7D">
        <w:t>,</w:t>
      </w:r>
      <w:r>
        <w:t xml:space="preserve"> but is not viable for the general population of undergraduates. </w:t>
      </w:r>
      <w:r w:rsidR="0019564A">
        <w:t>It is important to mention that the HS elements of school size (smaller schools’ greater risk), and class rank (lower-class rank slightly more at risk) were found and are consistent with the Cluster Analytic examination completed previously.</w:t>
      </w:r>
      <w:r w:rsidR="009C17C1">
        <w:t xml:space="preserve"> </w:t>
      </w:r>
    </w:p>
    <w:p w14:paraId="5264F159" w14:textId="7C644EB9" w:rsidR="003770C9" w:rsidRDefault="003770C9" w:rsidP="003770C9">
      <w:pPr>
        <w:pStyle w:val="Heading3"/>
      </w:pPr>
      <w:bookmarkStart w:id="9" w:name="_Toc2259609"/>
      <w:r>
        <w:t>Treatment of Racial Self-Identification with</w:t>
      </w:r>
      <w:r w:rsidR="008D7B1F">
        <w:t>in</w:t>
      </w:r>
      <w:r>
        <w:t xml:space="preserve"> General Undergraduate Model</w:t>
      </w:r>
      <w:bookmarkEnd w:id="9"/>
    </w:p>
    <w:p w14:paraId="6E86976B" w14:textId="2A3ED777" w:rsidR="00794D50" w:rsidRDefault="008519E9" w:rsidP="00C36BB2">
      <w:pPr>
        <w:ind w:firstLine="720"/>
      </w:pPr>
      <w:r>
        <w:t xml:space="preserve">It is important to note is that the </w:t>
      </w:r>
      <w:r w:rsidR="00516D09">
        <w:t>initial examination of racial identification used white as the reference group.</w:t>
      </w:r>
      <w:r w:rsidR="009C17C1">
        <w:t xml:space="preserve"> </w:t>
      </w:r>
      <w:r>
        <w:t>This approach was not able to locate elements useful to the model (no significant elements).</w:t>
      </w:r>
      <w:r w:rsidR="009C17C1">
        <w:t xml:space="preserve"> </w:t>
      </w:r>
      <w:r>
        <w:t xml:space="preserve">The approach used here </w:t>
      </w:r>
      <w:r w:rsidR="00CB16F2">
        <w:t>racial</w:t>
      </w:r>
      <w:r>
        <w:t xml:space="preserve"> </w:t>
      </w:r>
      <w:r w:rsidR="00CB16F2">
        <w:t xml:space="preserve">coded </w:t>
      </w:r>
      <w:r>
        <w:t>identification relative to the combined general population</w:t>
      </w:r>
      <w:r w:rsidR="0019564A">
        <w:t xml:space="preserve"> and within the context of all variables in the model</w:t>
      </w:r>
      <w:r w:rsidR="009C17C1">
        <w:t xml:space="preserve"> (f</w:t>
      </w:r>
      <w:r w:rsidR="00516D09">
        <w:t xml:space="preserve">or example, white compared to non-white or Native American </w:t>
      </w:r>
      <w:r w:rsidR="0019564A">
        <w:t>compared to all</w:t>
      </w:r>
      <w:r w:rsidR="00516D09">
        <w:t xml:space="preserve"> non-native</w:t>
      </w:r>
      <w:r w:rsidR="0019564A">
        <w:t>s, etc.</w:t>
      </w:r>
      <w:r w:rsidR="009C17C1">
        <w:t>)</w:t>
      </w:r>
      <w:r w:rsidR="004A3363">
        <w:t>.</w:t>
      </w:r>
      <w:r w:rsidR="009C17C1">
        <w:t xml:space="preserve"> </w:t>
      </w:r>
    </w:p>
    <w:p w14:paraId="01FC9D55" w14:textId="5A761BFB" w:rsidR="00813DF0" w:rsidRDefault="009B5CF7" w:rsidP="009B5CF7">
      <w:pPr>
        <w:pStyle w:val="Heading3"/>
      </w:pPr>
      <w:bookmarkStart w:id="10" w:name="_Toc2259610"/>
      <w:r>
        <w:t xml:space="preserve">General Undergraduate </w:t>
      </w:r>
      <w:r w:rsidR="00A223B9">
        <w:t>Final Model</w:t>
      </w:r>
      <w:bookmarkEnd w:id="10"/>
    </w:p>
    <w:p w14:paraId="1A4286F0" w14:textId="5400E14C" w:rsidR="00395506" w:rsidRDefault="00395506" w:rsidP="00114B6F">
      <w:pPr>
        <w:ind w:firstLine="720"/>
      </w:pPr>
      <w:r>
        <w:t>The final model was developed from reviews of the previous models completed previously and by refinement of a general base predictive model. All variables available that had in some way previously been linked empirically or were suggested in the literature were examined.</w:t>
      </w:r>
      <w:r w:rsidR="009C17C1">
        <w:t xml:space="preserve"> </w:t>
      </w:r>
      <w:r>
        <w:t>The base model was further refined by removal of outliers.</w:t>
      </w:r>
      <w:r w:rsidR="009C17C1">
        <w:t xml:space="preserve"> </w:t>
      </w:r>
      <w:r w:rsidR="00685731">
        <w:t xml:space="preserve">It should be noted that while resident status is not included in the </w:t>
      </w:r>
      <w:r w:rsidR="00BE0382">
        <w:t>model</w:t>
      </w:r>
      <w:r w:rsidR="00685731">
        <w:t xml:space="preserve"> like many other variables, </w:t>
      </w:r>
      <w:r w:rsidR="009B0154">
        <w:t xml:space="preserve">it was tested but failed to be </w:t>
      </w:r>
      <w:r w:rsidR="00685731">
        <w:t>included but failed to be of utility.</w:t>
      </w:r>
      <w:r w:rsidR="009C17C1">
        <w:t xml:space="preserve"> </w:t>
      </w:r>
      <w:r w:rsidR="00685731">
        <w:t xml:space="preserve">Most of these are removed as they act detrimentally on classification rates. </w:t>
      </w:r>
    </w:p>
    <w:p w14:paraId="269F68DD" w14:textId="3AED1514" w:rsidR="00395506" w:rsidRDefault="005731A3" w:rsidP="00114B6F">
      <w:pPr>
        <w:ind w:firstLine="72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972514" wp14:editId="1ABCCAD1">
            <wp:simplePos x="0" y="0"/>
            <wp:positionH relativeFrom="column">
              <wp:posOffset>-21317</wp:posOffset>
            </wp:positionH>
            <wp:positionV relativeFrom="paragraph">
              <wp:posOffset>68670</wp:posOffset>
            </wp:positionV>
            <wp:extent cx="2800350" cy="2800350"/>
            <wp:effectExtent l="57150" t="57150" r="114300" b="133350"/>
            <wp:wrapSquare wrapText="bothSides"/>
            <wp:docPr id="13" name="Picture 12" descr="img1.png">
              <a:extLst xmlns:a="http://schemas.openxmlformats.org/drawingml/2006/main">
                <a:ext uri="{FF2B5EF4-FFF2-40B4-BE49-F238E27FC236}">
                  <a16:creationId xmlns:a16="http://schemas.microsoft.com/office/drawing/2014/main" id="{C2C91C7C-A1C0-4B21-AB4C-4A69AB7CFC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img1.png">
                      <a:extLst>
                        <a:ext uri="{FF2B5EF4-FFF2-40B4-BE49-F238E27FC236}">
                          <a16:creationId xmlns:a16="http://schemas.microsoft.com/office/drawing/2014/main" id="{C2C91C7C-A1C0-4B21-AB4C-4A69AB7CFC3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  <a:extLst/>
                  </pic:spPr>
                </pic:pic>
              </a:graphicData>
            </a:graphic>
          </wp:anchor>
        </w:drawing>
      </w:r>
      <w:r w:rsidR="00395506">
        <w:t>The final predictive model targeted the probability of not being registered at the University of Idaho in the fall following spring semester at census date.</w:t>
      </w:r>
      <w:r w:rsidR="009C17C1">
        <w:t xml:space="preserve"> </w:t>
      </w:r>
      <w:r w:rsidR="00442AF2">
        <w:t>The model found solutions and had a ROC of 0.8</w:t>
      </w:r>
      <w:r w:rsidR="001B72AB">
        <w:t>8</w:t>
      </w:r>
      <w:r w:rsidR="00442AF2">
        <w:t xml:space="preserve"> with a rescaled R-Square of 0.3</w:t>
      </w:r>
      <w:r w:rsidR="001B72AB">
        <w:t>4</w:t>
      </w:r>
      <w:r w:rsidR="00442AF2">
        <w:t>.</w:t>
      </w:r>
      <w:r w:rsidR="009C17C1">
        <w:t xml:space="preserve"> </w:t>
      </w:r>
      <w:r w:rsidR="00442AF2">
        <w:t>Pearson Goodness of fit indicated a reasonable fit of the model to the data.</w:t>
      </w:r>
    </w:p>
    <w:p w14:paraId="7A1B5477" w14:textId="415053C0" w:rsidR="005933C7" w:rsidRDefault="00390907" w:rsidP="00114B6F">
      <w:pPr>
        <w:ind w:firstLine="720"/>
      </w:pPr>
      <w:r>
        <w:t>The relative importance of the significant predictors in the model are provided in the graph below.</w:t>
      </w:r>
      <w:r w:rsidR="009C17C1">
        <w:t xml:space="preserve"> </w:t>
      </w:r>
      <w:r>
        <w:t xml:space="preserve">The color of the bars </w:t>
      </w:r>
      <w:r w:rsidR="00A64A5D">
        <w:t>indicates</w:t>
      </w:r>
      <w:r>
        <w:t xml:space="preserve"> suggested grouping of similarly important predictors. </w:t>
      </w:r>
      <w:r w:rsidR="00A64A5D">
        <w:t>The predictors appear to</w:t>
      </w:r>
      <w:r w:rsidR="002C5DB6">
        <w:t xml:space="preserve"> intuitively fall into </w:t>
      </w:r>
      <w:r w:rsidR="002B2B7D">
        <w:t>five</w:t>
      </w:r>
      <w:r w:rsidR="002C5DB6">
        <w:t xml:space="preserve"> groups. </w:t>
      </w:r>
    </w:p>
    <w:p w14:paraId="67B8CB88" w14:textId="7434A9B8" w:rsidR="00A535C5" w:rsidRDefault="00CF28E5" w:rsidP="00114B6F">
      <w:pPr>
        <w:ind w:firstLine="720"/>
      </w:pPr>
      <w:r>
        <w:t>The first group is composed of the cumulative GPA of the undergraduate student.</w:t>
      </w:r>
      <w:r w:rsidR="009C17C1">
        <w:t xml:space="preserve"> </w:t>
      </w:r>
      <w:r>
        <w:t>This is the most pronounced element in the model.</w:t>
      </w:r>
      <w:r w:rsidR="009C17C1">
        <w:t xml:space="preserve"> </w:t>
      </w:r>
      <w:r w:rsidR="001B72AB">
        <w:t>The second group begins with New Transfer Students and is followed by Junior Standing and then Full</w:t>
      </w:r>
      <w:r w:rsidR="002B2B7D">
        <w:t>-</w:t>
      </w:r>
      <w:r w:rsidR="001B72AB">
        <w:t xml:space="preserve"> or Part</w:t>
      </w:r>
      <w:r w:rsidR="002B2B7D">
        <w:t>-</w:t>
      </w:r>
      <w:r w:rsidR="001B72AB">
        <w:t>Time Status.</w:t>
      </w:r>
      <w:r w:rsidR="009C17C1">
        <w:t xml:space="preserve"> </w:t>
      </w:r>
      <w:r w:rsidR="001B72AB">
        <w:t>The third group begin</w:t>
      </w:r>
      <w:r w:rsidR="006D0DAA">
        <w:t>s</w:t>
      </w:r>
      <w:r w:rsidR="001B72AB">
        <w:t xml:space="preserve"> with Institutional Credits and is followed by </w:t>
      </w:r>
      <w:r w:rsidR="000E3E13">
        <w:t>F</w:t>
      </w:r>
      <w:r w:rsidR="001B72AB">
        <w:t xml:space="preserve">reshman Standing, </w:t>
      </w:r>
      <w:r w:rsidR="006D0DAA">
        <w:t xml:space="preserve">Age at Start of </w:t>
      </w:r>
      <w:r w:rsidR="000E3E13">
        <w:t>T</w:t>
      </w:r>
      <w:r w:rsidR="006D0DAA">
        <w:t>erm, Academic Standing and then International Students.</w:t>
      </w:r>
      <w:r w:rsidR="009C17C1">
        <w:t xml:space="preserve"> </w:t>
      </w:r>
      <w:r w:rsidR="006D0DAA">
        <w:t>The fo</w:t>
      </w:r>
      <w:r w:rsidR="002B2B7D">
        <w:t>u</w:t>
      </w:r>
      <w:r w:rsidR="006D0DAA">
        <w:t xml:space="preserve">rth group begins with Tuition Aid Difference followed by CUM </w:t>
      </w:r>
      <w:r w:rsidR="002B2B7D">
        <w:t>E</w:t>
      </w:r>
      <w:r w:rsidR="006D0DAA">
        <w:t xml:space="preserve">arned Hours, New </w:t>
      </w:r>
      <w:r w:rsidR="000E3E13">
        <w:t>F</w:t>
      </w:r>
      <w:r w:rsidR="006D0DAA">
        <w:t>reshman from High School and then First Generation.</w:t>
      </w:r>
      <w:r w:rsidR="009C17C1">
        <w:t xml:space="preserve"> </w:t>
      </w:r>
      <w:r w:rsidR="006D0DAA">
        <w:t>The last group began with COE followed by CLASS, Black o</w:t>
      </w:r>
      <w:r w:rsidR="002B2B7D">
        <w:t>r</w:t>
      </w:r>
      <w:r w:rsidR="006D0DAA">
        <w:t xml:space="preserve"> African American and finally Gender. </w:t>
      </w:r>
    </w:p>
    <w:p w14:paraId="5AE15696" w14:textId="1D51E9A6" w:rsidR="00FE65E2" w:rsidRDefault="00FE65E2" w:rsidP="00FE65E2">
      <w:pPr>
        <w:pStyle w:val="Heading3"/>
      </w:pPr>
      <w:bookmarkStart w:id="11" w:name="_Toc2259611"/>
      <w:r>
        <w:lastRenderedPageBreak/>
        <w:t xml:space="preserve">Consideration with </w:t>
      </w:r>
      <w:r w:rsidR="002B2B7D">
        <w:t>r</w:t>
      </w:r>
      <w:r>
        <w:t>acial and gender elements</w:t>
      </w:r>
      <w:bookmarkEnd w:id="11"/>
    </w:p>
    <w:p w14:paraId="7A43A04E" w14:textId="475A504A" w:rsidR="00766824" w:rsidRDefault="00766824" w:rsidP="00114B6F">
      <w:pPr>
        <w:ind w:firstLine="720"/>
      </w:pPr>
      <w:r w:rsidRPr="00114B6F">
        <w:rPr>
          <w:u w:val="single"/>
        </w:rPr>
        <w:t xml:space="preserve">It is important to note that </w:t>
      </w:r>
      <w:r w:rsidR="002B2B7D">
        <w:rPr>
          <w:u w:val="single"/>
        </w:rPr>
        <w:t>g</w:t>
      </w:r>
      <w:r w:rsidRPr="00114B6F">
        <w:rPr>
          <w:u w:val="single"/>
        </w:rPr>
        <w:t xml:space="preserve">ender and </w:t>
      </w:r>
      <w:r w:rsidR="002B2B7D">
        <w:rPr>
          <w:u w:val="single"/>
        </w:rPr>
        <w:t>r</w:t>
      </w:r>
      <w:r w:rsidRPr="00114B6F">
        <w:rPr>
          <w:u w:val="single"/>
        </w:rPr>
        <w:t>acial elements</w:t>
      </w:r>
      <w:r>
        <w:t xml:space="preserve"> typically serve as proxies for social, engagement</w:t>
      </w:r>
      <w:r w:rsidR="002B2B7D">
        <w:t>,</w:t>
      </w:r>
      <w:r>
        <w:t xml:space="preserve"> and behavioral elements not included in a model.</w:t>
      </w:r>
      <w:r w:rsidR="009C17C1">
        <w:t xml:space="preserve"> </w:t>
      </w:r>
      <w:r>
        <w:t>These typically signify areas where there is greater difficulty finding a sense of connection and adjustment to the university setting.</w:t>
      </w:r>
      <w:r w:rsidR="009C17C1">
        <w:t xml:space="preserve"> </w:t>
      </w:r>
      <w:r>
        <w:t>This may be due to limited access to social support, the students being more introverted, or otherwise not locating ways to feel a sense of community.</w:t>
      </w:r>
      <w:r w:rsidR="009C17C1">
        <w:t xml:space="preserve"> </w:t>
      </w:r>
    </w:p>
    <w:p w14:paraId="217717A1" w14:textId="2B4042DF" w:rsidR="00CF28E5" w:rsidRDefault="005731A3" w:rsidP="00A535C5">
      <w:pPr>
        <w:jc w:val="center"/>
      </w:pPr>
      <w:r>
        <w:rPr>
          <w:noProof/>
        </w:rPr>
        <w:drawing>
          <wp:inline distT="0" distB="0" distL="0" distR="0" wp14:anchorId="4395B513" wp14:editId="767C6B60">
            <wp:extent cx="5115218" cy="299574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365" cy="3002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E825FC" w14:textId="7657BE04" w:rsidR="00A535C5" w:rsidRDefault="00A535C5" w:rsidP="00A535C5">
      <w:r>
        <w:t xml:space="preserve">A summary list of the statistically significant predictors and their </w:t>
      </w:r>
      <w:r w:rsidR="00766824">
        <w:t xml:space="preserve">model specific </w:t>
      </w:r>
      <w:r>
        <w:t>operation is provided below.</w:t>
      </w:r>
      <w:r w:rsidR="009C17C1">
        <w:t xml:space="preserve"> </w:t>
      </w:r>
    </w:p>
    <w:p w14:paraId="0D34BA7A" w14:textId="15898A73" w:rsidR="00A535C5" w:rsidRDefault="00A535C5" w:rsidP="00A535C5">
      <w:pPr>
        <w:pStyle w:val="ListParagraph"/>
        <w:numPr>
          <w:ilvl w:val="0"/>
          <w:numId w:val="10"/>
        </w:numPr>
      </w:pPr>
      <w:r>
        <w:t>CUM GPA</w:t>
      </w:r>
      <w:r w:rsidR="00142BEC">
        <w:t xml:space="preserve"> (a lower GPA is at higher risk)</w:t>
      </w:r>
    </w:p>
    <w:p w14:paraId="3AE2A4BA" w14:textId="0DA79CFC" w:rsidR="00A535C5" w:rsidRDefault="00A535C5" w:rsidP="00A535C5">
      <w:pPr>
        <w:pStyle w:val="ListParagraph"/>
        <w:numPr>
          <w:ilvl w:val="0"/>
          <w:numId w:val="10"/>
        </w:numPr>
      </w:pPr>
      <w:r>
        <w:t>New Transfer</w:t>
      </w:r>
      <w:r w:rsidR="00142BEC">
        <w:t xml:space="preserve"> (new transfer is at a</w:t>
      </w:r>
      <w:r w:rsidR="002B2B7D">
        <w:t>n</w:t>
      </w:r>
      <w:r w:rsidR="00142BEC">
        <w:t xml:space="preserve"> </w:t>
      </w:r>
      <w:r w:rsidR="00FE65E2">
        <w:t>increased</w:t>
      </w:r>
      <w:r w:rsidR="00142BEC">
        <w:t xml:space="preserve"> risk)</w:t>
      </w:r>
    </w:p>
    <w:p w14:paraId="23D63536" w14:textId="7A6020FB" w:rsidR="00A535C5" w:rsidRDefault="00A535C5" w:rsidP="00A535C5">
      <w:pPr>
        <w:pStyle w:val="ListParagraph"/>
        <w:numPr>
          <w:ilvl w:val="0"/>
          <w:numId w:val="10"/>
        </w:numPr>
      </w:pPr>
      <w:r>
        <w:t>Junior</w:t>
      </w:r>
      <w:r w:rsidR="00142BEC">
        <w:t xml:space="preserve"> (junior status is lower risk)</w:t>
      </w:r>
    </w:p>
    <w:p w14:paraId="6BC41096" w14:textId="3EE1FB5E" w:rsidR="00A535C5" w:rsidRDefault="00A535C5" w:rsidP="00A535C5">
      <w:pPr>
        <w:pStyle w:val="ListParagraph"/>
        <w:numPr>
          <w:ilvl w:val="0"/>
          <w:numId w:val="10"/>
        </w:numPr>
      </w:pPr>
      <w:r>
        <w:t>Full</w:t>
      </w:r>
      <w:r w:rsidR="002B2B7D">
        <w:t>-</w:t>
      </w:r>
      <w:r>
        <w:t xml:space="preserve"> or Part</w:t>
      </w:r>
      <w:r w:rsidR="002B2B7D">
        <w:t>-</w:t>
      </w:r>
      <w:r>
        <w:t>Time</w:t>
      </w:r>
      <w:r w:rsidR="00142BEC">
        <w:t xml:space="preserve"> (part-time is </w:t>
      </w:r>
      <w:r w:rsidR="00103E74">
        <w:t>higher</w:t>
      </w:r>
      <w:r w:rsidR="00142BEC">
        <w:t xml:space="preserve"> risk)</w:t>
      </w:r>
    </w:p>
    <w:p w14:paraId="5BBD3EA1" w14:textId="535D032F" w:rsidR="00A535C5" w:rsidRDefault="00A535C5" w:rsidP="00A535C5">
      <w:pPr>
        <w:pStyle w:val="ListParagraph"/>
        <w:numPr>
          <w:ilvl w:val="0"/>
          <w:numId w:val="10"/>
        </w:numPr>
      </w:pPr>
      <w:r>
        <w:t>Institutional Credits</w:t>
      </w:r>
      <w:r w:rsidR="00142BEC">
        <w:t xml:space="preserve"> (</w:t>
      </w:r>
      <w:r w:rsidR="003D0984">
        <w:t>fewer</w:t>
      </w:r>
      <w:r w:rsidR="00142BEC">
        <w:t xml:space="preserve"> credits </w:t>
      </w:r>
      <w:r w:rsidR="00103E74">
        <w:t>are</w:t>
      </w:r>
      <w:r w:rsidR="00142BEC">
        <w:t xml:space="preserve"> higher risk)</w:t>
      </w:r>
    </w:p>
    <w:p w14:paraId="06189550" w14:textId="0ADD1624" w:rsidR="00A535C5" w:rsidRDefault="00A535C5" w:rsidP="00A535C5">
      <w:pPr>
        <w:pStyle w:val="ListParagraph"/>
        <w:numPr>
          <w:ilvl w:val="0"/>
          <w:numId w:val="10"/>
        </w:numPr>
      </w:pPr>
      <w:r>
        <w:t>Freshman</w:t>
      </w:r>
      <w:r w:rsidR="00142BEC">
        <w:t xml:space="preserve"> (freshman </w:t>
      </w:r>
      <w:r w:rsidR="00103E74">
        <w:t xml:space="preserve">have increased risk) </w:t>
      </w:r>
    </w:p>
    <w:p w14:paraId="7824C3F9" w14:textId="5765482D" w:rsidR="00A535C5" w:rsidRDefault="00A535C5" w:rsidP="00A535C5">
      <w:pPr>
        <w:pStyle w:val="ListParagraph"/>
        <w:numPr>
          <w:ilvl w:val="0"/>
          <w:numId w:val="10"/>
        </w:numPr>
      </w:pPr>
      <w:r>
        <w:t xml:space="preserve">Age Start of </w:t>
      </w:r>
      <w:r w:rsidR="00103E74">
        <w:t>T</w:t>
      </w:r>
      <w:r>
        <w:t>erm</w:t>
      </w:r>
      <w:r w:rsidR="00103E74">
        <w:t xml:space="preserve"> (older students are at increased risk)</w:t>
      </w:r>
    </w:p>
    <w:p w14:paraId="357F2437" w14:textId="6E4871C7" w:rsidR="00A535C5" w:rsidRDefault="00A535C5" w:rsidP="00A535C5">
      <w:pPr>
        <w:pStyle w:val="ListParagraph"/>
        <w:numPr>
          <w:ilvl w:val="0"/>
          <w:numId w:val="10"/>
        </w:numPr>
      </w:pPr>
      <w:r>
        <w:t>Academic Standing</w:t>
      </w:r>
      <w:r w:rsidR="00103E74">
        <w:t xml:space="preserve"> (other than good standing at increased risk)</w:t>
      </w:r>
    </w:p>
    <w:p w14:paraId="699D1617" w14:textId="219664B4" w:rsidR="00A535C5" w:rsidRDefault="00A535C5" w:rsidP="00A535C5">
      <w:pPr>
        <w:pStyle w:val="ListParagraph"/>
        <w:numPr>
          <w:ilvl w:val="0"/>
          <w:numId w:val="10"/>
        </w:numPr>
      </w:pPr>
      <w:r>
        <w:t>International Students</w:t>
      </w:r>
      <w:r w:rsidR="00103E74">
        <w:t xml:space="preserve"> (</w:t>
      </w:r>
      <w:r w:rsidR="00FE65E2">
        <w:t>decreased risk)</w:t>
      </w:r>
    </w:p>
    <w:p w14:paraId="4A654E77" w14:textId="1B437821" w:rsidR="00A535C5" w:rsidRDefault="00A535C5" w:rsidP="00A535C5">
      <w:pPr>
        <w:pStyle w:val="ListParagraph"/>
        <w:numPr>
          <w:ilvl w:val="0"/>
          <w:numId w:val="10"/>
        </w:numPr>
      </w:pPr>
      <w:r>
        <w:t>Tuition Aid Difference</w:t>
      </w:r>
      <w:r w:rsidR="00103E74">
        <w:t xml:space="preserve"> (larger difference at greater risk)</w:t>
      </w:r>
    </w:p>
    <w:p w14:paraId="2B800A77" w14:textId="0A828B8D" w:rsidR="00A535C5" w:rsidRDefault="00A535C5" w:rsidP="00A535C5">
      <w:pPr>
        <w:pStyle w:val="ListParagraph"/>
        <w:numPr>
          <w:ilvl w:val="0"/>
          <w:numId w:val="10"/>
        </w:numPr>
      </w:pPr>
      <w:r>
        <w:t>CUM Earned Hours</w:t>
      </w:r>
      <w:r w:rsidR="00FE65E2">
        <w:t xml:space="preserve"> (higher more risk)</w:t>
      </w:r>
    </w:p>
    <w:p w14:paraId="6A1E4BE6" w14:textId="277226DD" w:rsidR="00A535C5" w:rsidRDefault="00A535C5" w:rsidP="00A535C5">
      <w:pPr>
        <w:pStyle w:val="ListParagraph"/>
        <w:numPr>
          <w:ilvl w:val="0"/>
          <w:numId w:val="10"/>
        </w:numPr>
      </w:pPr>
      <w:r>
        <w:t>New Freshman from HS</w:t>
      </w:r>
      <w:r w:rsidR="00FE65E2">
        <w:t xml:space="preserve"> (increased risk)</w:t>
      </w:r>
    </w:p>
    <w:p w14:paraId="27529A23" w14:textId="049D0F62" w:rsidR="00A535C5" w:rsidRDefault="00A535C5" w:rsidP="00A535C5">
      <w:pPr>
        <w:pStyle w:val="ListParagraph"/>
        <w:numPr>
          <w:ilvl w:val="0"/>
          <w:numId w:val="10"/>
        </w:numPr>
      </w:pPr>
      <w:r>
        <w:t>First Generation</w:t>
      </w:r>
      <w:r w:rsidR="00FE65E2">
        <w:t xml:space="preserve"> (increased risk)</w:t>
      </w:r>
    </w:p>
    <w:p w14:paraId="26EFF38E" w14:textId="77C5E860" w:rsidR="00A535C5" w:rsidRDefault="00A535C5" w:rsidP="00A535C5">
      <w:pPr>
        <w:pStyle w:val="ListParagraph"/>
        <w:numPr>
          <w:ilvl w:val="0"/>
          <w:numId w:val="10"/>
        </w:numPr>
      </w:pPr>
      <w:r>
        <w:t>COE</w:t>
      </w:r>
      <w:r w:rsidR="00FE65E2">
        <w:t xml:space="preserve"> (decreased risk)</w:t>
      </w:r>
    </w:p>
    <w:p w14:paraId="5E5F42F6" w14:textId="5478E46E" w:rsidR="00A535C5" w:rsidRDefault="00A535C5" w:rsidP="00A535C5">
      <w:pPr>
        <w:pStyle w:val="ListParagraph"/>
        <w:numPr>
          <w:ilvl w:val="0"/>
          <w:numId w:val="10"/>
        </w:numPr>
      </w:pPr>
      <w:r>
        <w:t>CLASS</w:t>
      </w:r>
      <w:r w:rsidR="00FE65E2">
        <w:t xml:space="preserve"> (increased risk)</w:t>
      </w:r>
    </w:p>
    <w:p w14:paraId="0798AFF0" w14:textId="7E7507FB" w:rsidR="00A535C5" w:rsidRDefault="00A535C5" w:rsidP="00A535C5">
      <w:pPr>
        <w:pStyle w:val="ListParagraph"/>
        <w:numPr>
          <w:ilvl w:val="0"/>
          <w:numId w:val="10"/>
        </w:numPr>
      </w:pPr>
      <w:r>
        <w:t>Black o</w:t>
      </w:r>
      <w:r w:rsidR="002B2B7D">
        <w:t>r</w:t>
      </w:r>
      <w:r>
        <w:t xml:space="preserve"> </w:t>
      </w:r>
      <w:proofErr w:type="spellStart"/>
      <w:r>
        <w:t>Af</w:t>
      </w:r>
      <w:proofErr w:type="spellEnd"/>
      <w:r>
        <w:t>. American</w:t>
      </w:r>
      <w:r w:rsidR="00FE65E2">
        <w:t xml:space="preserve"> (increased risk)</w:t>
      </w:r>
    </w:p>
    <w:p w14:paraId="5FDC5087" w14:textId="0BC1FC5C" w:rsidR="00A535C5" w:rsidRDefault="00A535C5" w:rsidP="00A535C5">
      <w:pPr>
        <w:pStyle w:val="ListParagraph"/>
        <w:numPr>
          <w:ilvl w:val="0"/>
          <w:numId w:val="10"/>
        </w:numPr>
      </w:pPr>
      <w:r>
        <w:t>Gender</w:t>
      </w:r>
      <w:r w:rsidR="00FE65E2">
        <w:t xml:space="preserve"> (males increased risk)</w:t>
      </w:r>
    </w:p>
    <w:p w14:paraId="1CD03B68" w14:textId="6AC02948" w:rsidR="0009256A" w:rsidRDefault="00E23B32" w:rsidP="00E23B32">
      <w:pPr>
        <w:pStyle w:val="Heading2"/>
      </w:pPr>
      <w:bookmarkStart w:id="12" w:name="_Toc2259612"/>
      <w:r>
        <w:lastRenderedPageBreak/>
        <w:t>Summary Findings</w:t>
      </w:r>
      <w:r w:rsidR="00397749">
        <w:t xml:space="preserve"> (take</w:t>
      </w:r>
      <w:r w:rsidR="002B2B7D">
        <w:t>-</w:t>
      </w:r>
      <w:r w:rsidR="00397749">
        <w:t>away):</w:t>
      </w:r>
      <w:bookmarkEnd w:id="12"/>
    </w:p>
    <w:p w14:paraId="15E90128" w14:textId="55B4647B" w:rsidR="00E23B32" w:rsidRDefault="00E23B32" w:rsidP="00E23B32">
      <w:r>
        <w:t>There are several implications of this examination of the final model.</w:t>
      </w:r>
    </w:p>
    <w:p w14:paraId="047FA7D8" w14:textId="346E293E" w:rsidR="00E23B32" w:rsidRDefault="00E23B32" w:rsidP="00FB40B1">
      <w:pPr>
        <w:pStyle w:val="ListParagraph"/>
        <w:numPr>
          <w:ilvl w:val="0"/>
          <w:numId w:val="11"/>
        </w:numPr>
      </w:pPr>
      <w:r>
        <w:t>The final predictive model has</w:t>
      </w:r>
      <w:r w:rsidR="007B7DD0">
        <w:t xml:space="preserve"> now been revised to the point where it is operationally within the functional range common for such models discussed i</w:t>
      </w:r>
      <w:r>
        <w:t xml:space="preserve">n the literature and </w:t>
      </w:r>
      <w:r w:rsidR="007B7DD0">
        <w:t xml:space="preserve">reported at conferences. </w:t>
      </w:r>
      <w:r w:rsidR="00B06B7A">
        <w:t>The model is consistent with data from the Cluster Analytic examination of the non-retained and initial data from the Student Experience Survey.</w:t>
      </w:r>
    </w:p>
    <w:p w14:paraId="4502F0B0" w14:textId="7AF54217" w:rsidR="007B7DD0" w:rsidRDefault="007B7DD0" w:rsidP="00FB40B1">
      <w:pPr>
        <w:pStyle w:val="ListParagraph"/>
        <w:numPr>
          <w:ilvl w:val="0"/>
          <w:numId w:val="11"/>
        </w:numPr>
      </w:pPr>
      <w:r>
        <w:t>It can be used to develop a set of risk scores, and prioritization</w:t>
      </w:r>
      <w:r w:rsidR="002377D8">
        <w:t>,</w:t>
      </w:r>
      <w:r>
        <w:t xml:space="preserve"> that can be used by </w:t>
      </w:r>
      <w:r w:rsidR="002353CE">
        <w:t>A</w:t>
      </w:r>
      <w:r>
        <w:t>dvising or others to the extent they desire.</w:t>
      </w:r>
      <w:r w:rsidR="009C17C1">
        <w:t xml:space="preserve"> </w:t>
      </w:r>
      <w:r>
        <w:t>Meeting to determine how to provide the information to them (i.e., dashboards, lists, etc.), what levels of risk that are wised to be targeted</w:t>
      </w:r>
      <w:r w:rsidR="002377D8">
        <w:t>,</w:t>
      </w:r>
      <w:r>
        <w:t xml:space="preserve"> and what student level data is desire</w:t>
      </w:r>
      <w:r w:rsidR="002377D8">
        <w:t>d</w:t>
      </w:r>
      <w:r>
        <w:t xml:space="preserve"> in that delivery needs to be determined.</w:t>
      </w:r>
      <w:r w:rsidR="009C17C1">
        <w:t xml:space="preserve"> </w:t>
      </w:r>
      <w:r>
        <w:t xml:space="preserve">Conversation with </w:t>
      </w:r>
      <w:r w:rsidR="002353CE">
        <w:t>A</w:t>
      </w:r>
      <w:r>
        <w:t>dvising and/or others who would have utility for it are being scheduled.</w:t>
      </w:r>
    </w:p>
    <w:p w14:paraId="227CB2A1" w14:textId="2DF56285" w:rsidR="002018B7" w:rsidRDefault="002018B7" w:rsidP="00FB40B1">
      <w:pPr>
        <w:pStyle w:val="ListParagraph"/>
        <w:numPr>
          <w:ilvl w:val="0"/>
          <w:numId w:val="11"/>
        </w:numPr>
      </w:pPr>
      <w:r>
        <w:t>The model can also serve as the bas</w:t>
      </w:r>
      <w:r w:rsidR="002377D8">
        <w:t>i</w:t>
      </w:r>
      <w:r>
        <w:t>s for a decision</w:t>
      </w:r>
      <w:r w:rsidR="002377D8">
        <w:t xml:space="preserve"> </w:t>
      </w:r>
      <w:r w:rsidR="00651616">
        <w:t>tree</w:t>
      </w:r>
      <w:r w:rsidR="002377D8">
        <w:t>-</w:t>
      </w:r>
      <w:r w:rsidR="00651616">
        <w:t>based</w:t>
      </w:r>
      <w:r>
        <w:t xml:space="preserve"> decision</w:t>
      </w:r>
      <w:r w:rsidR="002377D8">
        <w:t>-</w:t>
      </w:r>
      <w:r>
        <w:t>making process when conceptualizing how to think about student</w:t>
      </w:r>
      <w:r w:rsidR="002377D8">
        <w:t>s’</w:t>
      </w:r>
      <w:r>
        <w:t xml:space="preserve"> risk of exodus. The relative importance and grouping of predictors can be used to prioritize what areas of a student’s situation to consider first, and as most important.</w:t>
      </w:r>
      <w:r w:rsidR="009C17C1">
        <w:t xml:space="preserve"> </w:t>
      </w:r>
      <w:r>
        <w:t>However, as “importance” is a personal element</w:t>
      </w:r>
      <w:r w:rsidR="002377D8">
        <w:t>,</w:t>
      </w:r>
      <w:r>
        <w:t xml:space="preserve"> the relative importance in the general population and </w:t>
      </w:r>
      <w:r w:rsidR="00651616">
        <w:t>that for the individual student can be qui</w:t>
      </w:r>
      <w:r w:rsidR="002377D8">
        <w:t>t</w:t>
      </w:r>
      <w:r w:rsidR="00651616">
        <w:t xml:space="preserve">e varied. </w:t>
      </w:r>
    </w:p>
    <w:p w14:paraId="736DE3FD" w14:textId="5AF9811D" w:rsidR="00446A4B" w:rsidRDefault="00446A4B" w:rsidP="00FB40B1">
      <w:pPr>
        <w:pStyle w:val="ListParagraph"/>
        <w:numPr>
          <w:ilvl w:val="0"/>
          <w:numId w:val="11"/>
        </w:numPr>
      </w:pPr>
      <w:r>
        <w:t>As with previous models</w:t>
      </w:r>
      <w:r w:rsidR="002353CE">
        <w:t>,</w:t>
      </w:r>
      <w:r>
        <w:t xml:space="preserve"> the </w:t>
      </w:r>
      <w:r w:rsidR="002377D8">
        <w:t xml:space="preserve">elements of </w:t>
      </w:r>
      <w:r>
        <w:t xml:space="preserve">student behavior and attitude are key missing components in the development of our model relative to </w:t>
      </w:r>
      <w:r w:rsidR="002353CE">
        <w:t xml:space="preserve">those </w:t>
      </w:r>
      <w:r>
        <w:t>developed in other locations.</w:t>
      </w:r>
      <w:r w:rsidR="009C17C1">
        <w:t xml:space="preserve"> </w:t>
      </w:r>
      <w:r>
        <w:t xml:space="preserve">Steps are underway to remedy this, but they are not </w:t>
      </w:r>
      <w:r w:rsidR="002377D8">
        <w:t xml:space="preserve">yet </w:t>
      </w:r>
      <w:r>
        <w:t>operational.</w:t>
      </w:r>
      <w:r w:rsidR="009C17C1">
        <w:t xml:space="preserve"> </w:t>
      </w:r>
      <w:r>
        <w:t xml:space="preserve">Data collected by </w:t>
      </w:r>
      <w:proofErr w:type="spellStart"/>
      <w:r>
        <w:t>Vand</w:t>
      </w:r>
      <w:r w:rsidR="002377D8">
        <w:t>a</w:t>
      </w:r>
      <w:r>
        <w:t>lStar</w:t>
      </w:r>
      <w:proofErr w:type="spellEnd"/>
      <w:r>
        <w:t xml:space="preserve"> may enable </w:t>
      </w:r>
      <w:r w:rsidR="002353CE">
        <w:t xml:space="preserve">such </w:t>
      </w:r>
      <w:r>
        <w:t>development here.</w:t>
      </w:r>
      <w:r w:rsidR="009C17C1">
        <w:t xml:space="preserve"> </w:t>
      </w:r>
      <w:r>
        <w:t>Further</w:t>
      </w:r>
      <w:r w:rsidR="002377D8">
        <w:t>,</w:t>
      </w:r>
      <w:r>
        <w:t xml:space="preserve"> after conversations with Advising, and other potential end users, the Freshman Survey (CIRP) administered by IEA is scheduled to be replaced (pilot) with ACT Engage.</w:t>
      </w:r>
      <w:r w:rsidR="009C17C1">
        <w:t xml:space="preserve"> </w:t>
      </w:r>
      <w:r>
        <w:t xml:space="preserve">This would be </w:t>
      </w:r>
      <w:r w:rsidR="00056980">
        <w:t>administered</w:t>
      </w:r>
      <w:r>
        <w:t xml:space="preserve"> </w:t>
      </w:r>
      <w:r w:rsidR="002377D8">
        <w:t xml:space="preserve">soon </w:t>
      </w:r>
      <w:r w:rsidR="00056980">
        <w:t xml:space="preserve">after a student’s arrival on campus </w:t>
      </w:r>
      <w:r>
        <w:t>and should allow for the development of key data in this area.</w:t>
      </w:r>
      <w:r w:rsidR="009C17C1">
        <w:t xml:space="preserve"> </w:t>
      </w:r>
      <w:r>
        <w:t xml:space="preserve">Lastly, a Student Experience Survey is being piloted (second </w:t>
      </w:r>
      <w:r w:rsidR="00056980">
        <w:t>semester</w:t>
      </w:r>
      <w:r>
        <w:t xml:space="preserve">) </w:t>
      </w:r>
      <w:r w:rsidR="00056980">
        <w:t>and it may provide information to assist in the refinement of the model over time.</w:t>
      </w:r>
    </w:p>
    <w:p w14:paraId="397FC682" w14:textId="749F927A" w:rsidR="007B7DD0" w:rsidRDefault="007B7DD0" w:rsidP="00FB40B1">
      <w:pPr>
        <w:pStyle w:val="ListParagraph"/>
        <w:numPr>
          <w:ilvl w:val="0"/>
          <w:numId w:val="11"/>
        </w:numPr>
      </w:pPr>
      <w:r>
        <w:t xml:space="preserve">The </w:t>
      </w:r>
      <w:r w:rsidR="006864C7">
        <w:t xml:space="preserve">role </w:t>
      </w:r>
      <w:r>
        <w:t>factors of full</w:t>
      </w:r>
      <w:r w:rsidR="002377D8">
        <w:t>-</w:t>
      </w:r>
      <w:r>
        <w:t>time/</w:t>
      </w:r>
      <w:r w:rsidR="00547687">
        <w:t>part-time</w:t>
      </w:r>
      <w:r>
        <w:t xml:space="preserve">, Student Standing (i.e. </w:t>
      </w:r>
      <w:r w:rsidR="002377D8">
        <w:t>f</w:t>
      </w:r>
      <w:r>
        <w:t xml:space="preserve">reshman, </w:t>
      </w:r>
      <w:r w:rsidR="002377D8">
        <w:t>s</w:t>
      </w:r>
      <w:r>
        <w:t xml:space="preserve">ophomore, </w:t>
      </w:r>
      <w:r w:rsidR="002377D8">
        <w:t>j</w:t>
      </w:r>
      <w:r>
        <w:t xml:space="preserve">unior and </w:t>
      </w:r>
      <w:r w:rsidR="002377D8">
        <w:t>s</w:t>
      </w:r>
      <w:r>
        <w:t xml:space="preserve">enior) and perhaps College </w:t>
      </w:r>
      <w:r w:rsidR="006864C7">
        <w:t xml:space="preserve">play in the model </w:t>
      </w:r>
      <w:r>
        <w:t>suggest that separate models may be of utility.</w:t>
      </w:r>
      <w:r w:rsidR="009C17C1">
        <w:t xml:space="preserve"> </w:t>
      </w:r>
      <w:r>
        <w:t xml:space="preserve">However, </w:t>
      </w:r>
      <w:r w:rsidR="006864C7">
        <w:t xml:space="preserve">the decision to develop </w:t>
      </w:r>
      <w:r>
        <w:t xml:space="preserve">them would need </w:t>
      </w:r>
      <w:r w:rsidR="00B10962">
        <w:t xml:space="preserve">to be </w:t>
      </w:r>
      <w:r w:rsidR="006864C7">
        <w:t>made within the c</w:t>
      </w:r>
      <w:r>
        <w:t xml:space="preserve">ontext of </w:t>
      </w:r>
      <w:r w:rsidR="00685731">
        <w:t xml:space="preserve">their utility. There would be little point in developing these </w:t>
      </w:r>
      <w:r w:rsidR="00547687">
        <w:t>if they are not going to be used</w:t>
      </w:r>
      <w:r w:rsidR="00685731">
        <w:t>.</w:t>
      </w:r>
      <w:r w:rsidR="00547687">
        <w:t xml:space="preserve"> </w:t>
      </w:r>
      <w:r w:rsidR="00685731">
        <w:t xml:space="preserve">If the additional models are developed it should be noted that it is likely these </w:t>
      </w:r>
      <w:r w:rsidR="00547687">
        <w:t xml:space="preserve">models </w:t>
      </w:r>
      <w:r w:rsidR="00685731">
        <w:t xml:space="preserve">would </w:t>
      </w:r>
      <w:r w:rsidR="00547687">
        <w:t>differ in the classification accuracy</w:t>
      </w:r>
      <w:r w:rsidR="00685731">
        <w:t>.</w:t>
      </w:r>
      <w:r w:rsidR="009C17C1">
        <w:t xml:space="preserve"> </w:t>
      </w:r>
      <w:r w:rsidR="00685731">
        <w:t>If so, they m</w:t>
      </w:r>
      <w:r w:rsidR="00547687">
        <w:t xml:space="preserve">ay not provide additional utility over the </w:t>
      </w:r>
      <w:r w:rsidR="00716A89">
        <w:t>G</w:t>
      </w:r>
      <w:r w:rsidR="00547687">
        <w:t xml:space="preserve">eneral </w:t>
      </w:r>
      <w:r w:rsidR="00716A89">
        <w:t>U</w:t>
      </w:r>
      <w:r w:rsidR="00547687">
        <w:t xml:space="preserve">ndergraduate </w:t>
      </w:r>
      <w:r w:rsidR="00716A89">
        <w:t>M</w:t>
      </w:r>
      <w:r w:rsidR="00547687">
        <w:t>odel.</w:t>
      </w:r>
      <w:r w:rsidR="009C17C1">
        <w:t xml:space="preserve"> </w:t>
      </w:r>
      <w:r w:rsidR="00446A4B">
        <w:t xml:space="preserve">It is also possible </w:t>
      </w:r>
      <w:r w:rsidR="00685731">
        <w:t xml:space="preserve">that </w:t>
      </w:r>
      <w:r w:rsidR="00446A4B">
        <w:t xml:space="preserve">these models could result in increased classification accuracy. </w:t>
      </w:r>
    </w:p>
    <w:p w14:paraId="698BBD21" w14:textId="73D7B39F" w:rsidR="007B7DD0" w:rsidRPr="00E23B32" w:rsidRDefault="007B7DD0" w:rsidP="00FB40B1">
      <w:pPr>
        <w:pStyle w:val="ListParagraph"/>
        <w:numPr>
          <w:ilvl w:val="0"/>
          <w:numId w:val="11"/>
        </w:numPr>
      </w:pPr>
      <w:r>
        <w:t>A note of caution. Th</w:t>
      </w:r>
      <w:r w:rsidR="00685731">
        <w:t>is</w:t>
      </w:r>
      <w:r>
        <w:t xml:space="preserve"> model, like similar models elsewhere, still has a higher than desired false </w:t>
      </w:r>
      <w:r w:rsidR="00685731">
        <w:t xml:space="preserve">classification </w:t>
      </w:r>
      <w:r>
        <w:t xml:space="preserve">rate. This is to some extent an artifact of such models but has </w:t>
      </w:r>
      <w:proofErr w:type="gramStart"/>
      <w:r>
        <w:t>sufficient</w:t>
      </w:r>
      <w:proofErr w:type="gramEnd"/>
      <w:r>
        <w:t xml:space="preserve"> utility to be used to enter an advising discussion.</w:t>
      </w:r>
      <w:r w:rsidR="009C17C1">
        <w:t xml:space="preserve"> </w:t>
      </w:r>
      <w:r w:rsidR="00446A4B">
        <w:t>This also means that this approach is currently not likely to lead to greater precision in predicting numbers for next</w:t>
      </w:r>
      <w:r w:rsidR="002377D8">
        <w:t>-</w:t>
      </w:r>
      <w:r w:rsidR="00446A4B">
        <w:t xml:space="preserve">term enrollments than approaches. </w:t>
      </w:r>
    </w:p>
    <w:p w14:paraId="6502F006" w14:textId="4FFFD527" w:rsidR="008C085C" w:rsidRPr="009567C8" w:rsidRDefault="008C085C" w:rsidP="009C02AB">
      <w:pPr>
        <w:pStyle w:val="Heading2"/>
      </w:pPr>
      <w:r>
        <w:br w:type="page"/>
      </w:r>
      <w:bookmarkStart w:id="13" w:name="_Toc2259613"/>
      <w:r w:rsidRPr="009567C8">
        <w:lastRenderedPageBreak/>
        <w:t>References</w:t>
      </w:r>
      <w:bookmarkEnd w:id="13"/>
    </w:p>
    <w:p w14:paraId="46B2DBFB" w14:textId="30DB0D34" w:rsidR="005A4625" w:rsidRDefault="005A4625" w:rsidP="005A4625">
      <w:pPr>
        <w:pStyle w:val="Default"/>
        <w:spacing w:afterLines="50" w:after="12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Allison, P</w:t>
      </w:r>
      <w:r w:rsidR="002A166C">
        <w:rPr>
          <w:rFonts w:asciiTheme="minorHAnsi" w:hAnsi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(2014). Measure of fit for logistic regression.</w:t>
      </w:r>
      <w:r w:rsidR="009C17C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>Paper 1485-2014. Statistical Horizons and University of Pennsylvania. (SAS)</w:t>
      </w:r>
    </w:p>
    <w:p w14:paraId="3CBF0659" w14:textId="2F265F37" w:rsidR="008C085C" w:rsidRDefault="008C085C" w:rsidP="008C085C">
      <w:r>
        <w:t>Bean, J. &amp; Eaton, S. (2001).</w:t>
      </w:r>
      <w:r w:rsidR="009C17C1">
        <w:t xml:space="preserve"> </w:t>
      </w:r>
      <w:r>
        <w:t>The psychology underlying successful retention practices.</w:t>
      </w:r>
      <w:r w:rsidR="009C17C1">
        <w:t xml:space="preserve"> </w:t>
      </w:r>
      <w:r w:rsidRPr="00FB40B1">
        <w:rPr>
          <w:i/>
        </w:rPr>
        <w:t>Journal of College Student Retention</w:t>
      </w:r>
      <w:r>
        <w:t>, 3(1) 73-89.</w:t>
      </w:r>
    </w:p>
    <w:p w14:paraId="0AAB25C6" w14:textId="77777777" w:rsidR="00775C50" w:rsidRPr="00010A26" w:rsidRDefault="00775C50" w:rsidP="00775C50">
      <w:pPr>
        <w:pStyle w:val="Default"/>
        <w:spacing w:afterLines="50" w:after="120"/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 w:rsidRPr="00010A26">
        <w:rPr>
          <w:rFonts w:asciiTheme="minorHAnsi" w:hAnsiTheme="minorHAnsi"/>
          <w:color w:val="000000" w:themeColor="text1"/>
          <w:sz w:val="22"/>
          <w:szCs w:val="22"/>
        </w:rPr>
        <w:t>Caison</w:t>
      </w:r>
      <w:proofErr w:type="spellEnd"/>
      <w:r w:rsidRPr="00010A26">
        <w:rPr>
          <w:rFonts w:asciiTheme="minorHAnsi" w:hAnsiTheme="minorHAnsi"/>
          <w:color w:val="000000" w:themeColor="text1"/>
          <w:sz w:val="22"/>
          <w:szCs w:val="22"/>
        </w:rPr>
        <w:t xml:space="preserve">, A. L. (2006). Analysis of institutionally specific retention research: A comparison between survey and institutional database methods. </w:t>
      </w:r>
      <w:r w:rsidRPr="00010A26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Research in Higher Education </w:t>
      </w:r>
      <w:r w:rsidRPr="00010A26">
        <w:rPr>
          <w:rFonts w:asciiTheme="minorHAnsi" w:hAnsiTheme="minorHAnsi"/>
          <w:color w:val="000000" w:themeColor="text1"/>
          <w:sz w:val="22"/>
          <w:szCs w:val="22"/>
        </w:rPr>
        <w:t>48(4): 435-451</w:t>
      </w:r>
      <w:r w:rsidRPr="00010A26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. </w:t>
      </w:r>
    </w:p>
    <w:p w14:paraId="07635AF4" w14:textId="7CC3EF34" w:rsidR="008C085C" w:rsidRDefault="008C085C" w:rsidP="008C085C">
      <w:r>
        <w:t>Collier, P</w:t>
      </w:r>
      <w:r w:rsidR="002A166C">
        <w:t>.</w:t>
      </w:r>
      <w:r>
        <w:t xml:space="preserve"> &amp; Morgan, D. (2007). “Is that paper really due today?”: Differences in first-generation and traditional college students</w:t>
      </w:r>
      <w:r w:rsidR="002A166C">
        <w:t>’</w:t>
      </w:r>
      <w:r>
        <w:t xml:space="preserve"> understanding of faculty expectations. </w:t>
      </w:r>
      <w:r w:rsidRPr="00FB40B1">
        <w:rPr>
          <w:i/>
        </w:rPr>
        <w:t>Higher Education</w:t>
      </w:r>
      <w:r>
        <w:t>. DOI:10.1007/s10724-007-9065-5.</w:t>
      </w:r>
    </w:p>
    <w:p w14:paraId="09A4F539" w14:textId="56E916F6" w:rsidR="008C085C" w:rsidRDefault="008C085C" w:rsidP="008C085C">
      <w:r>
        <w:t>Demetriou, C. &amp; Schmitz-</w:t>
      </w:r>
      <w:proofErr w:type="spellStart"/>
      <w:r>
        <w:t>Sciborski</w:t>
      </w:r>
      <w:proofErr w:type="spellEnd"/>
      <w:r>
        <w:t>, A. (2012). Integration, motivation, strengths and optimism: retention theories past, present and future.</w:t>
      </w:r>
      <w:r w:rsidR="009C17C1">
        <w:t xml:space="preserve"> </w:t>
      </w:r>
      <w:r>
        <w:t>In R. Hays (Ed.) Proceedings of the 7</w:t>
      </w:r>
      <w:r w:rsidRPr="00673585">
        <w:rPr>
          <w:vertAlign w:val="superscript"/>
        </w:rPr>
        <w:t>th</w:t>
      </w:r>
      <w:r>
        <w:t xml:space="preserve"> National Symposium on Student Retention, 2011, Charleston (pp. 300-312). Norman, OK</w:t>
      </w:r>
      <w:r w:rsidR="00970B53">
        <w:t>: The</w:t>
      </w:r>
      <w:r>
        <w:t xml:space="preserve"> University of Oklahoma. </w:t>
      </w:r>
    </w:p>
    <w:p w14:paraId="2F71C3E9" w14:textId="04E09085" w:rsidR="00775C50" w:rsidRPr="00010A26" w:rsidRDefault="00775C50" w:rsidP="00775C50">
      <w:pPr>
        <w:pStyle w:val="Default"/>
        <w:spacing w:afterLines="50" w:after="120"/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 w:rsidRPr="00010A26">
        <w:rPr>
          <w:rFonts w:asciiTheme="minorHAnsi" w:hAnsiTheme="minorHAnsi"/>
          <w:color w:val="000000" w:themeColor="text1"/>
          <w:sz w:val="22"/>
          <w:szCs w:val="22"/>
        </w:rPr>
        <w:t>DesJardins</w:t>
      </w:r>
      <w:proofErr w:type="spellEnd"/>
      <w:r w:rsidRPr="00010A26">
        <w:rPr>
          <w:rFonts w:asciiTheme="minorHAnsi" w:hAnsiTheme="minorHAnsi"/>
          <w:color w:val="000000" w:themeColor="text1"/>
          <w:sz w:val="22"/>
          <w:szCs w:val="22"/>
        </w:rPr>
        <w:t xml:space="preserve">, S. T. (2002). An </w:t>
      </w:r>
      <w:r w:rsidR="00970B53">
        <w:rPr>
          <w:rFonts w:asciiTheme="minorHAnsi" w:hAnsiTheme="minorHAnsi"/>
          <w:color w:val="000000" w:themeColor="text1"/>
          <w:sz w:val="22"/>
          <w:szCs w:val="22"/>
        </w:rPr>
        <w:t>A</w:t>
      </w:r>
      <w:r w:rsidRPr="00010A26">
        <w:rPr>
          <w:rFonts w:asciiTheme="minorHAnsi" w:hAnsiTheme="minorHAnsi"/>
          <w:color w:val="000000" w:themeColor="text1"/>
          <w:sz w:val="22"/>
          <w:szCs w:val="22"/>
        </w:rPr>
        <w:t xml:space="preserve">nalytical </w:t>
      </w:r>
      <w:r w:rsidR="00970B53">
        <w:rPr>
          <w:rFonts w:asciiTheme="minorHAnsi" w:hAnsiTheme="minorHAnsi"/>
          <w:color w:val="000000" w:themeColor="text1"/>
          <w:sz w:val="22"/>
          <w:szCs w:val="22"/>
        </w:rPr>
        <w:t>S</w:t>
      </w:r>
      <w:r w:rsidRPr="00010A26">
        <w:rPr>
          <w:rFonts w:asciiTheme="minorHAnsi" w:hAnsiTheme="minorHAnsi"/>
          <w:color w:val="000000" w:themeColor="text1"/>
          <w:sz w:val="22"/>
          <w:szCs w:val="22"/>
        </w:rPr>
        <w:t xml:space="preserve">trategy to </w:t>
      </w:r>
      <w:r w:rsidR="00970B53">
        <w:rPr>
          <w:rFonts w:asciiTheme="minorHAnsi" w:hAnsiTheme="minorHAnsi"/>
          <w:color w:val="000000" w:themeColor="text1"/>
          <w:sz w:val="22"/>
          <w:szCs w:val="22"/>
        </w:rPr>
        <w:t>A</w:t>
      </w:r>
      <w:r w:rsidRPr="00010A26">
        <w:rPr>
          <w:rFonts w:asciiTheme="minorHAnsi" w:hAnsiTheme="minorHAnsi"/>
          <w:color w:val="000000" w:themeColor="text1"/>
          <w:sz w:val="22"/>
          <w:szCs w:val="22"/>
        </w:rPr>
        <w:t xml:space="preserve">ssist </w:t>
      </w:r>
      <w:r w:rsidR="00970B53">
        <w:rPr>
          <w:rFonts w:asciiTheme="minorHAnsi" w:hAnsiTheme="minorHAnsi"/>
          <w:color w:val="000000" w:themeColor="text1"/>
          <w:sz w:val="22"/>
          <w:szCs w:val="22"/>
        </w:rPr>
        <w:t>I</w:t>
      </w:r>
      <w:r w:rsidRPr="00010A26">
        <w:rPr>
          <w:rFonts w:asciiTheme="minorHAnsi" w:hAnsiTheme="minorHAnsi"/>
          <w:color w:val="000000" w:themeColor="text1"/>
          <w:sz w:val="22"/>
          <w:szCs w:val="22"/>
        </w:rPr>
        <w:t xml:space="preserve">nstitutional </w:t>
      </w:r>
      <w:r w:rsidR="00970B53">
        <w:rPr>
          <w:rFonts w:asciiTheme="minorHAnsi" w:hAnsiTheme="minorHAnsi"/>
          <w:color w:val="000000" w:themeColor="text1"/>
          <w:sz w:val="22"/>
          <w:szCs w:val="22"/>
        </w:rPr>
        <w:t>R</w:t>
      </w:r>
      <w:r w:rsidRPr="00010A26">
        <w:rPr>
          <w:rFonts w:asciiTheme="minorHAnsi" w:hAnsiTheme="minorHAnsi"/>
          <w:color w:val="000000" w:themeColor="text1"/>
          <w:sz w:val="22"/>
          <w:szCs w:val="22"/>
        </w:rPr>
        <w:t xml:space="preserve">ecruitment and </w:t>
      </w:r>
      <w:r w:rsidR="00970B53">
        <w:rPr>
          <w:rFonts w:asciiTheme="minorHAnsi" w:hAnsiTheme="minorHAnsi"/>
          <w:color w:val="000000" w:themeColor="text1"/>
          <w:sz w:val="22"/>
          <w:szCs w:val="22"/>
        </w:rPr>
        <w:t>M</w:t>
      </w:r>
      <w:r w:rsidRPr="00010A26">
        <w:rPr>
          <w:rFonts w:asciiTheme="minorHAnsi" w:hAnsiTheme="minorHAnsi"/>
          <w:color w:val="000000" w:themeColor="text1"/>
          <w:sz w:val="22"/>
          <w:szCs w:val="22"/>
        </w:rPr>
        <w:t xml:space="preserve">arketing </w:t>
      </w:r>
      <w:r w:rsidR="00970B53">
        <w:rPr>
          <w:rFonts w:asciiTheme="minorHAnsi" w:hAnsiTheme="minorHAnsi"/>
          <w:color w:val="000000" w:themeColor="text1"/>
          <w:sz w:val="22"/>
          <w:szCs w:val="22"/>
        </w:rPr>
        <w:t>E</w:t>
      </w:r>
      <w:r w:rsidRPr="00010A26">
        <w:rPr>
          <w:rFonts w:asciiTheme="minorHAnsi" w:hAnsiTheme="minorHAnsi"/>
          <w:color w:val="000000" w:themeColor="text1"/>
          <w:sz w:val="22"/>
          <w:szCs w:val="22"/>
        </w:rPr>
        <w:t xml:space="preserve">fforts. </w:t>
      </w:r>
      <w:r w:rsidRPr="00010A26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Research in Higher Education </w:t>
      </w:r>
      <w:r w:rsidRPr="00010A26">
        <w:rPr>
          <w:rFonts w:asciiTheme="minorHAnsi" w:hAnsiTheme="minorHAnsi"/>
          <w:color w:val="000000" w:themeColor="text1"/>
          <w:sz w:val="22"/>
          <w:szCs w:val="22"/>
        </w:rPr>
        <w:t>43(5).</w:t>
      </w:r>
    </w:p>
    <w:p w14:paraId="7CF291BE" w14:textId="77777777" w:rsidR="00775C50" w:rsidRPr="00010A26" w:rsidRDefault="00775C50" w:rsidP="00775C50">
      <w:pPr>
        <w:pStyle w:val="Default"/>
        <w:spacing w:afterLines="50" w:after="120"/>
        <w:rPr>
          <w:rFonts w:asciiTheme="minorHAnsi" w:hAnsiTheme="minorHAnsi"/>
          <w:color w:val="000000" w:themeColor="text1"/>
          <w:sz w:val="22"/>
          <w:szCs w:val="22"/>
        </w:rPr>
      </w:pPr>
      <w:r w:rsidRPr="00010A26">
        <w:rPr>
          <w:rFonts w:asciiTheme="minorHAnsi" w:hAnsiTheme="minorHAnsi"/>
          <w:color w:val="000000" w:themeColor="text1"/>
          <w:sz w:val="22"/>
          <w:szCs w:val="22"/>
        </w:rPr>
        <w:t xml:space="preserve">Fawcett, T. (2006). An introduction to ROC analysis. </w:t>
      </w:r>
      <w:r w:rsidRPr="00010A26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Pattern Recognition Letters </w:t>
      </w:r>
      <w:r w:rsidRPr="00010A26">
        <w:rPr>
          <w:rFonts w:asciiTheme="minorHAnsi" w:hAnsiTheme="minorHAnsi"/>
          <w:color w:val="000000" w:themeColor="text1"/>
          <w:sz w:val="22"/>
          <w:szCs w:val="22"/>
        </w:rPr>
        <w:t>27: 861-874.</w:t>
      </w:r>
    </w:p>
    <w:p w14:paraId="092958EC" w14:textId="59E668F0" w:rsidR="00775C50" w:rsidRDefault="00775C50" w:rsidP="00775C50">
      <w:pPr>
        <w:pStyle w:val="Default"/>
        <w:spacing w:afterLines="50" w:after="120"/>
        <w:rPr>
          <w:rFonts w:asciiTheme="minorHAnsi" w:hAnsiTheme="minorHAnsi"/>
          <w:color w:val="000000" w:themeColor="text1"/>
          <w:sz w:val="22"/>
          <w:szCs w:val="22"/>
        </w:rPr>
      </w:pPr>
      <w:r w:rsidRPr="00775C50">
        <w:rPr>
          <w:rFonts w:asciiTheme="minorHAnsi" w:hAnsiTheme="minorHAnsi"/>
          <w:color w:val="000000" w:themeColor="text1"/>
          <w:sz w:val="22"/>
          <w:szCs w:val="22"/>
        </w:rPr>
        <w:t>Herzog,</w:t>
      </w:r>
      <w:r w:rsidR="002A166C">
        <w:rPr>
          <w:rFonts w:asciiTheme="minorHAnsi" w:hAnsiTheme="minorHAnsi"/>
          <w:color w:val="000000" w:themeColor="text1"/>
          <w:sz w:val="22"/>
          <w:szCs w:val="22"/>
        </w:rPr>
        <w:t xml:space="preserve"> S.</w:t>
      </w:r>
      <w:r w:rsidRPr="00775C50">
        <w:rPr>
          <w:rFonts w:asciiTheme="minorHAnsi" w:hAnsiTheme="minorHAnsi"/>
          <w:color w:val="000000" w:themeColor="text1"/>
          <w:sz w:val="22"/>
          <w:szCs w:val="22"/>
        </w:rPr>
        <w:t xml:space="preserve"> (2019), Student Success Perditions at your fingertips: Developing </w:t>
      </w:r>
      <w:r>
        <w:rPr>
          <w:rFonts w:asciiTheme="minorHAnsi" w:hAnsiTheme="minorHAnsi"/>
          <w:color w:val="000000" w:themeColor="text1"/>
          <w:sz w:val="22"/>
          <w:szCs w:val="22"/>
        </w:rPr>
        <w:t>o</w:t>
      </w:r>
      <w:r w:rsidRPr="00775C50">
        <w:rPr>
          <w:rFonts w:asciiTheme="minorHAnsi" w:hAnsiTheme="minorHAnsi"/>
          <w:color w:val="000000" w:themeColor="text1"/>
          <w:sz w:val="22"/>
          <w:szCs w:val="22"/>
        </w:rPr>
        <w:t>nline dashboards with Microsoft Power BI.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Percontor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Workshop, </w:t>
      </w:r>
      <w:r w:rsidR="002A166C">
        <w:rPr>
          <w:rFonts w:asciiTheme="minorHAnsi" w:hAnsiTheme="minorHAnsi"/>
          <w:color w:val="000000" w:themeColor="text1"/>
          <w:sz w:val="22"/>
          <w:szCs w:val="22"/>
        </w:rPr>
        <w:t>02-21-</w:t>
      </w:r>
      <w:r>
        <w:rPr>
          <w:rFonts w:asciiTheme="minorHAnsi" w:hAnsiTheme="minorHAnsi"/>
          <w:color w:val="000000" w:themeColor="text1"/>
          <w:sz w:val="22"/>
          <w:szCs w:val="22"/>
        </w:rPr>
        <w:t>19.</w:t>
      </w:r>
    </w:p>
    <w:p w14:paraId="6A233344" w14:textId="72D9E744" w:rsidR="00775C50" w:rsidRDefault="00775C50" w:rsidP="00775C50">
      <w:pPr>
        <w:pStyle w:val="Default"/>
        <w:spacing w:afterLines="50" w:after="120"/>
        <w:rPr>
          <w:rFonts w:asciiTheme="minorHAnsi" w:hAnsiTheme="minorHAnsi"/>
          <w:color w:val="000000" w:themeColor="text1"/>
          <w:sz w:val="22"/>
          <w:szCs w:val="22"/>
        </w:rPr>
      </w:pPr>
      <w:r w:rsidRPr="00010A26">
        <w:rPr>
          <w:rFonts w:asciiTheme="minorHAnsi" w:hAnsiTheme="minorHAnsi"/>
          <w:color w:val="000000" w:themeColor="text1"/>
          <w:sz w:val="22"/>
          <w:szCs w:val="22"/>
        </w:rPr>
        <w:t>Herzog, S. (20</w:t>
      </w:r>
      <w:r>
        <w:rPr>
          <w:rFonts w:asciiTheme="minorHAnsi" w:hAnsiTheme="minorHAnsi"/>
          <w:color w:val="000000" w:themeColor="text1"/>
          <w:sz w:val="22"/>
          <w:szCs w:val="22"/>
        </w:rPr>
        <w:t>19</w:t>
      </w:r>
      <w:r w:rsidRPr="00010A26">
        <w:rPr>
          <w:rFonts w:asciiTheme="minorHAnsi" w:hAnsiTheme="minorHAnsi"/>
          <w:color w:val="000000" w:themeColor="text1"/>
          <w:sz w:val="22"/>
          <w:szCs w:val="22"/>
        </w:rPr>
        <w:t>).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Exploring the power of predictive analytics: A step-by-step introduction to building a student-at-risk model.</w:t>
      </w:r>
      <w:r w:rsidR="009C17C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Percontor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Workshop, 02-07-19.</w:t>
      </w:r>
    </w:p>
    <w:p w14:paraId="50E70E67" w14:textId="77777777" w:rsidR="00775C50" w:rsidRPr="00010A26" w:rsidRDefault="00775C50" w:rsidP="00775C50">
      <w:pPr>
        <w:pStyle w:val="Default"/>
        <w:spacing w:afterLines="50" w:after="120"/>
        <w:rPr>
          <w:rFonts w:asciiTheme="minorHAnsi" w:hAnsiTheme="minorHAnsi"/>
          <w:color w:val="000000" w:themeColor="text1"/>
          <w:sz w:val="22"/>
          <w:szCs w:val="22"/>
        </w:rPr>
      </w:pPr>
      <w:r w:rsidRPr="00010A26">
        <w:rPr>
          <w:rFonts w:asciiTheme="minorHAnsi" w:hAnsiTheme="minorHAnsi"/>
          <w:color w:val="000000" w:themeColor="text1"/>
          <w:sz w:val="22"/>
          <w:szCs w:val="22"/>
        </w:rPr>
        <w:t xml:space="preserve">Herzog, S. (2006). “Estimating student retention and degree-completion time: Decision trees and neural networks vis-à-vis regression.” In J. Luan &amp; C. Zhao (eds.), </w:t>
      </w:r>
      <w:r w:rsidRPr="00010A26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Data Mining in Action: Case Studies of Enrollment Management. New Directions for Institutional Research, </w:t>
      </w:r>
      <w:r w:rsidRPr="00010A26">
        <w:rPr>
          <w:rFonts w:asciiTheme="minorHAnsi" w:hAnsiTheme="minorHAnsi"/>
          <w:color w:val="000000" w:themeColor="text1"/>
          <w:sz w:val="22"/>
          <w:szCs w:val="22"/>
        </w:rPr>
        <w:t>no. 131. San Francisco, CA: Jossey-Bass</w:t>
      </w:r>
      <w:r w:rsidRPr="00010A26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. </w:t>
      </w:r>
    </w:p>
    <w:p w14:paraId="73E7CA21" w14:textId="2474DBA7" w:rsidR="00970B53" w:rsidRDefault="00775C50" w:rsidP="008C085C">
      <w:pPr>
        <w:rPr>
          <w:color w:val="000000" w:themeColor="text1"/>
        </w:rPr>
      </w:pPr>
      <w:r w:rsidRPr="00010A26">
        <w:rPr>
          <w:color w:val="000000" w:themeColor="text1"/>
        </w:rPr>
        <w:t>Herzog, S. (2005). “Measuring determinants of student return vs. dropout/</w:t>
      </w:r>
      <w:proofErr w:type="spellStart"/>
      <w:r w:rsidRPr="00010A26">
        <w:rPr>
          <w:color w:val="000000" w:themeColor="text1"/>
        </w:rPr>
        <w:t>stopout</w:t>
      </w:r>
      <w:proofErr w:type="spellEnd"/>
      <w:r>
        <w:rPr>
          <w:color w:val="000000" w:themeColor="text1"/>
        </w:rPr>
        <w:t xml:space="preserve"> </w:t>
      </w:r>
      <w:r w:rsidRPr="00010A26">
        <w:rPr>
          <w:color w:val="000000" w:themeColor="text1"/>
        </w:rPr>
        <w:t xml:space="preserve">vs. transfer: a first-to-second year analysis of new freshmen.” </w:t>
      </w:r>
      <w:r w:rsidRPr="00010A26">
        <w:rPr>
          <w:i/>
          <w:iCs/>
          <w:color w:val="000000" w:themeColor="text1"/>
        </w:rPr>
        <w:t xml:space="preserve">Research in Higher Education, </w:t>
      </w:r>
      <w:r w:rsidRPr="00010A26">
        <w:rPr>
          <w:color w:val="000000" w:themeColor="text1"/>
        </w:rPr>
        <w:t>46(8): 883-928</w:t>
      </w:r>
      <w:r w:rsidR="00970B53">
        <w:rPr>
          <w:color w:val="000000" w:themeColor="text1"/>
        </w:rPr>
        <w:t>.</w:t>
      </w:r>
    </w:p>
    <w:p w14:paraId="6460B689" w14:textId="77777777" w:rsidR="00970B53" w:rsidRDefault="00970B53" w:rsidP="00970B53">
      <w:pPr>
        <w:rPr>
          <w:color w:val="000000" w:themeColor="text1"/>
        </w:rPr>
      </w:pPr>
      <w:r w:rsidRPr="00010A26">
        <w:rPr>
          <w:color w:val="000000" w:themeColor="text1"/>
        </w:rPr>
        <w:t xml:space="preserve">Hosmer, D. &amp; </w:t>
      </w:r>
      <w:proofErr w:type="spellStart"/>
      <w:r w:rsidRPr="00010A26">
        <w:rPr>
          <w:color w:val="000000" w:themeColor="text1"/>
        </w:rPr>
        <w:t>Lemeshow</w:t>
      </w:r>
      <w:proofErr w:type="spellEnd"/>
      <w:r w:rsidRPr="00010A26">
        <w:rPr>
          <w:color w:val="000000" w:themeColor="text1"/>
        </w:rPr>
        <w:t xml:space="preserve">, S. (2000). </w:t>
      </w:r>
      <w:r w:rsidRPr="00010A26">
        <w:rPr>
          <w:i/>
          <w:iCs/>
          <w:color w:val="000000" w:themeColor="text1"/>
        </w:rPr>
        <w:t xml:space="preserve">Applied Logistic Regression (Second Edition). </w:t>
      </w:r>
      <w:r w:rsidRPr="00010A26">
        <w:rPr>
          <w:color w:val="000000" w:themeColor="text1"/>
        </w:rPr>
        <w:t>New York: John Wiley &amp; Sons, Inc</w:t>
      </w:r>
      <w:r>
        <w:rPr>
          <w:color w:val="000000" w:themeColor="text1"/>
        </w:rPr>
        <w:t>.</w:t>
      </w:r>
    </w:p>
    <w:p w14:paraId="18603020" w14:textId="76523E47" w:rsidR="008C085C" w:rsidRDefault="008C085C" w:rsidP="008C085C">
      <w:r>
        <w:t>Luke, C. (2009), "An Examination of Psychological Factors That Predict College Student Success and Retention." Ph</w:t>
      </w:r>
      <w:r w:rsidR="00B21F95">
        <w:t>.</w:t>
      </w:r>
      <w:r>
        <w:t>D</w:t>
      </w:r>
      <w:r w:rsidR="00B21F95">
        <w:t>.</w:t>
      </w:r>
      <w:r>
        <w:t xml:space="preserve"> dis., University of Tennessee.</w:t>
      </w:r>
      <w:r w:rsidR="009C17C1">
        <w:t xml:space="preserve"> </w:t>
      </w:r>
      <w:hyperlink r:id="rId17" w:history="1">
        <w:r w:rsidRPr="003D6A0D">
          <w:rPr>
            <w:rStyle w:val="Hyperlink"/>
          </w:rPr>
          <w:t>https://trace.tennessee.edu/utk_graddiss/71</w:t>
        </w:r>
      </w:hyperlink>
      <w:r>
        <w:t xml:space="preserve">. </w:t>
      </w:r>
    </w:p>
    <w:p w14:paraId="1C2785E0" w14:textId="660C75C1" w:rsidR="00775C50" w:rsidRPr="00010A26" w:rsidRDefault="00775C50" w:rsidP="00775C50">
      <w:pPr>
        <w:pStyle w:val="Default"/>
        <w:spacing w:afterLines="50" w:after="120"/>
        <w:rPr>
          <w:rFonts w:asciiTheme="minorHAnsi" w:hAnsiTheme="minorHAnsi"/>
          <w:color w:val="000000" w:themeColor="text1"/>
          <w:sz w:val="22"/>
          <w:szCs w:val="22"/>
        </w:rPr>
      </w:pPr>
      <w:r w:rsidRPr="00010A26">
        <w:rPr>
          <w:rFonts w:asciiTheme="minorHAnsi" w:hAnsiTheme="minorHAnsi"/>
          <w:color w:val="000000" w:themeColor="text1"/>
          <w:sz w:val="22"/>
          <w:szCs w:val="22"/>
        </w:rPr>
        <w:t xml:space="preserve">Pascarella, E. T., &amp; </w:t>
      </w:r>
      <w:proofErr w:type="spellStart"/>
      <w:r w:rsidRPr="00010A26">
        <w:rPr>
          <w:rFonts w:asciiTheme="minorHAnsi" w:hAnsiTheme="minorHAnsi"/>
          <w:color w:val="000000" w:themeColor="text1"/>
          <w:sz w:val="22"/>
          <w:szCs w:val="22"/>
        </w:rPr>
        <w:t>Terenzini</w:t>
      </w:r>
      <w:proofErr w:type="spellEnd"/>
      <w:r w:rsidRPr="00010A26">
        <w:rPr>
          <w:rFonts w:asciiTheme="minorHAnsi" w:hAnsiTheme="minorHAnsi"/>
          <w:color w:val="000000" w:themeColor="text1"/>
          <w:sz w:val="22"/>
          <w:szCs w:val="22"/>
        </w:rPr>
        <w:t xml:space="preserve">, P. T. (2005). </w:t>
      </w:r>
      <w:r w:rsidRPr="00010A26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How College Affects Students: </w:t>
      </w:r>
      <w:r w:rsidR="00B21F95" w:rsidRPr="00010A26">
        <w:rPr>
          <w:rFonts w:asciiTheme="minorHAnsi" w:hAnsiTheme="minorHAnsi"/>
          <w:i/>
          <w:iCs/>
          <w:color w:val="000000" w:themeColor="text1"/>
          <w:sz w:val="22"/>
          <w:szCs w:val="22"/>
        </w:rPr>
        <w:t>A Third Decade of Research</w:t>
      </w:r>
      <w:r w:rsidR="00B21F95">
        <w:rPr>
          <w:rFonts w:asciiTheme="minorHAnsi" w:hAnsiTheme="minorHAnsi"/>
          <w:i/>
          <w:iCs/>
          <w:color w:val="000000" w:themeColor="text1"/>
          <w:sz w:val="22"/>
          <w:szCs w:val="22"/>
        </w:rPr>
        <w:t>,</w:t>
      </w:r>
      <w:r w:rsidR="00B21F95" w:rsidRPr="00010A26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</w:t>
      </w:r>
      <w:r w:rsidRPr="00010A26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Volume 2. </w:t>
      </w:r>
      <w:r w:rsidRPr="00010A26">
        <w:rPr>
          <w:rFonts w:asciiTheme="minorHAnsi" w:hAnsiTheme="minorHAnsi"/>
          <w:color w:val="000000" w:themeColor="text1"/>
          <w:sz w:val="22"/>
          <w:szCs w:val="22"/>
        </w:rPr>
        <w:t>San Francisco, CA: Jossey-Bass</w:t>
      </w:r>
    </w:p>
    <w:p w14:paraId="3D22F9BE" w14:textId="30A51E55" w:rsidR="008C085C" w:rsidRDefault="008C085C" w:rsidP="008C085C">
      <w:r>
        <w:t>Richardson, M., Abraham, C. &amp; Bond, R. (2012). Psychological correlates of university students’ academic performance: A systematic review and meta-analysis.</w:t>
      </w:r>
      <w:r w:rsidR="009C17C1">
        <w:t xml:space="preserve"> </w:t>
      </w:r>
      <w:r w:rsidRPr="00FB40B1">
        <w:rPr>
          <w:i/>
        </w:rPr>
        <w:t>Psychological Bulletin</w:t>
      </w:r>
      <w:r>
        <w:t>, 138(2), 353-387. DOI: 10.1037/a0026838.</w:t>
      </w:r>
    </w:p>
    <w:p w14:paraId="40E0A438" w14:textId="09E4A2B6" w:rsidR="00B21F95" w:rsidRDefault="008C085C" w:rsidP="002321C8">
      <w:r>
        <w:t xml:space="preserve">Rodgers, K. &amp; </w:t>
      </w:r>
      <w:r w:rsidR="00B21F95">
        <w:t>S</w:t>
      </w:r>
      <w:r>
        <w:t xml:space="preserve">ummers, J. (2008). African American Students at </w:t>
      </w:r>
      <w:r w:rsidR="00B21F95">
        <w:t>P</w:t>
      </w:r>
      <w:r>
        <w:t>redomina</w:t>
      </w:r>
      <w:r w:rsidR="00B21F95">
        <w:t>n</w:t>
      </w:r>
      <w:r>
        <w:t xml:space="preserve">tly </w:t>
      </w:r>
      <w:r w:rsidR="00B21F95">
        <w:t>W</w:t>
      </w:r>
      <w:r>
        <w:t xml:space="preserve">hite </w:t>
      </w:r>
    </w:p>
    <w:p w14:paraId="30E30889" w14:textId="64005DEC" w:rsidR="00775C50" w:rsidRDefault="00B21F95" w:rsidP="002321C8">
      <w:r>
        <w:t>I</w:t>
      </w:r>
      <w:r w:rsidR="008C085C">
        <w:t xml:space="preserve">nstitutions: A </w:t>
      </w:r>
      <w:r>
        <w:t>M</w:t>
      </w:r>
      <w:r w:rsidR="008C085C">
        <w:t xml:space="preserve">otivational and </w:t>
      </w:r>
      <w:r>
        <w:t>S</w:t>
      </w:r>
      <w:r w:rsidR="008C085C">
        <w:t>elf-</w:t>
      </w:r>
      <w:r>
        <w:t>S</w:t>
      </w:r>
      <w:r w:rsidR="008C085C">
        <w:t xml:space="preserve">ystems </w:t>
      </w:r>
      <w:r>
        <w:t>A</w:t>
      </w:r>
      <w:r w:rsidR="008C085C">
        <w:t xml:space="preserve">pproach to </w:t>
      </w:r>
      <w:r>
        <w:t>U</w:t>
      </w:r>
      <w:r w:rsidR="008C085C">
        <w:t xml:space="preserve">nderstanding </w:t>
      </w:r>
      <w:r>
        <w:t>R</w:t>
      </w:r>
      <w:r w:rsidR="008C085C">
        <w:t xml:space="preserve">etention. </w:t>
      </w:r>
      <w:r w:rsidR="008C085C" w:rsidRPr="00FB40B1">
        <w:rPr>
          <w:i/>
        </w:rPr>
        <w:t xml:space="preserve">Educ Psychol </w:t>
      </w:r>
      <w:r w:rsidR="00231381">
        <w:rPr>
          <w:i/>
        </w:rPr>
        <w:t>R</w:t>
      </w:r>
      <w:r w:rsidR="008C085C" w:rsidRPr="00FB40B1">
        <w:rPr>
          <w:i/>
        </w:rPr>
        <w:t>ev</w:t>
      </w:r>
      <w:r w:rsidR="008C085C">
        <w:t>, 20, 171-190.</w:t>
      </w:r>
      <w:r w:rsidR="009C17C1">
        <w:t xml:space="preserve"> </w:t>
      </w:r>
      <w:r w:rsidR="008C085C">
        <w:t xml:space="preserve">DOI 10.1007/s10648-008-9072-9. </w:t>
      </w:r>
    </w:p>
    <w:p w14:paraId="133ABE48" w14:textId="7D201613" w:rsidR="002C1423" w:rsidRDefault="002C1423" w:rsidP="002321C8">
      <w:r>
        <w:lastRenderedPageBreak/>
        <w:t xml:space="preserve">Thompson, D. (2009). Ranking </w:t>
      </w:r>
      <w:r w:rsidR="00B21F95">
        <w:t>P</w:t>
      </w:r>
      <w:r>
        <w:t xml:space="preserve">redictors in Logistic Regression. </w:t>
      </w:r>
      <w:r w:rsidR="00FC266F">
        <w:t xml:space="preserve">Paper </w:t>
      </w:r>
      <w:r w:rsidR="00FC266F" w:rsidRPr="00FC266F">
        <w:t>D10‐2009</w:t>
      </w:r>
      <w:r w:rsidR="00FC266F">
        <w:t xml:space="preserve">. </w:t>
      </w:r>
      <w:r>
        <w:t>Assurant Health</w:t>
      </w:r>
      <w:r w:rsidR="000F3344">
        <w:t>. (SAS)</w:t>
      </w:r>
    </w:p>
    <w:p w14:paraId="67FFCF45" w14:textId="029218DA" w:rsidR="0069614D" w:rsidRDefault="0069614D">
      <w:pPr>
        <w:rPr>
          <w:b/>
        </w:rPr>
      </w:pPr>
      <w:r>
        <w:rPr>
          <w:b/>
        </w:rPr>
        <w:br w:type="page"/>
      </w:r>
    </w:p>
    <w:p w14:paraId="39D013D3" w14:textId="3CF36945" w:rsidR="000F3344" w:rsidRDefault="0069614D" w:rsidP="0069614D">
      <w:pPr>
        <w:pStyle w:val="Heading2"/>
      </w:pPr>
      <w:bookmarkStart w:id="14" w:name="_Toc2259614"/>
      <w:r>
        <w:lastRenderedPageBreak/>
        <w:t>Appendix A: Model Maximum Likelihood Analysis Summary</w:t>
      </w:r>
      <w:bookmarkEnd w:id="14"/>
    </w:p>
    <w:p w14:paraId="42D3B514" w14:textId="06604009" w:rsidR="0069614D" w:rsidRDefault="0069614D" w:rsidP="002321C8">
      <w:pPr>
        <w:rPr>
          <w:b/>
        </w:rPr>
      </w:pPr>
    </w:p>
    <w:p w14:paraId="60E80E53" w14:textId="4C928D8E" w:rsidR="0085003E" w:rsidRDefault="0085003E" w:rsidP="002321C8">
      <w:pPr>
        <w:rPr>
          <w:b/>
        </w:rPr>
      </w:pPr>
      <w:r>
        <w:rPr>
          <w:b/>
        </w:rPr>
        <w:t>Note may variables are coded in the software by defaults as:</w:t>
      </w:r>
    </w:p>
    <w:tbl>
      <w:tblPr>
        <w:tblW w:w="1920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85003E" w:rsidRPr="0085003E" w14:paraId="7C55E6BC" w14:textId="77777777" w:rsidTr="008500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A"/>
            <w:noWrap/>
            <w:vAlign w:val="center"/>
            <w:hideMark/>
          </w:tcPr>
          <w:p w14:paraId="417A7BCA" w14:textId="77777777" w:rsidR="0085003E" w:rsidRPr="0085003E" w:rsidRDefault="0085003E" w:rsidP="00850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0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BD4F8" w14:textId="77777777" w:rsidR="0085003E" w:rsidRPr="0085003E" w:rsidRDefault="0085003E" w:rsidP="008500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00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5003E" w:rsidRPr="0085003E" w14:paraId="02FF3151" w14:textId="77777777" w:rsidTr="008500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A"/>
            <w:noWrap/>
            <w:vAlign w:val="center"/>
            <w:hideMark/>
          </w:tcPr>
          <w:p w14:paraId="0681C6CB" w14:textId="77777777" w:rsidR="0085003E" w:rsidRPr="0085003E" w:rsidRDefault="0085003E" w:rsidP="00850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0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3FD0A" w14:textId="77777777" w:rsidR="0085003E" w:rsidRPr="0085003E" w:rsidRDefault="0085003E" w:rsidP="008500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00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</w:t>
            </w:r>
          </w:p>
        </w:tc>
      </w:tr>
    </w:tbl>
    <w:p w14:paraId="35855FA1" w14:textId="5AB806C1" w:rsidR="0085003E" w:rsidRDefault="0085003E" w:rsidP="002321C8">
      <w:pPr>
        <w:rPr>
          <w:b/>
        </w:rPr>
      </w:pPr>
    </w:p>
    <w:p w14:paraId="1A6CC947" w14:textId="706947CB" w:rsidR="0069614D" w:rsidRPr="002321C8" w:rsidRDefault="0069614D" w:rsidP="002321C8">
      <w:pPr>
        <w:rPr>
          <w:b/>
        </w:rPr>
      </w:pPr>
      <w:r>
        <w:rPr>
          <w:noProof/>
        </w:rPr>
        <w:drawing>
          <wp:inline distT="0" distB="0" distL="0" distR="0" wp14:anchorId="11F41A54" wp14:editId="49FBE168">
            <wp:extent cx="5943600" cy="57340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14D" w:rsidRPr="002321C8" w:rsidSect="00842DAE">
      <w:footerReference w:type="default" r:id="rId1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1D050" w14:textId="77777777" w:rsidR="00EA5D04" w:rsidRDefault="00EA5D04" w:rsidP="00A54ECB">
      <w:pPr>
        <w:spacing w:after="0" w:line="240" w:lineRule="auto"/>
      </w:pPr>
      <w:r>
        <w:separator/>
      </w:r>
    </w:p>
  </w:endnote>
  <w:endnote w:type="continuationSeparator" w:id="0">
    <w:p w14:paraId="5E88B47B" w14:textId="77777777" w:rsidR="00EA5D04" w:rsidRDefault="00EA5D04" w:rsidP="00A5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6644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89CC5" w14:textId="39975459" w:rsidR="00A54ECB" w:rsidRDefault="00A54E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F9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F722967" w14:textId="77777777" w:rsidR="00A54ECB" w:rsidRDefault="00A54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24AE0" w14:textId="77777777" w:rsidR="00EA5D04" w:rsidRDefault="00EA5D04" w:rsidP="00A54ECB">
      <w:pPr>
        <w:spacing w:after="0" w:line="240" w:lineRule="auto"/>
      </w:pPr>
      <w:r>
        <w:separator/>
      </w:r>
    </w:p>
  </w:footnote>
  <w:footnote w:type="continuationSeparator" w:id="0">
    <w:p w14:paraId="0047DF1A" w14:textId="77777777" w:rsidR="00EA5D04" w:rsidRDefault="00EA5D04" w:rsidP="00A54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20B"/>
    <w:multiLevelType w:val="hybridMultilevel"/>
    <w:tmpl w:val="31EA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931D2"/>
    <w:multiLevelType w:val="hybridMultilevel"/>
    <w:tmpl w:val="DD8A8DEA"/>
    <w:lvl w:ilvl="0" w:tplc="150CEB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14AE4"/>
    <w:multiLevelType w:val="hybridMultilevel"/>
    <w:tmpl w:val="ABC41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B37C5"/>
    <w:multiLevelType w:val="hybridMultilevel"/>
    <w:tmpl w:val="862C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332D6"/>
    <w:multiLevelType w:val="hybridMultilevel"/>
    <w:tmpl w:val="AC908CDA"/>
    <w:lvl w:ilvl="0" w:tplc="5FFA4E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A4F59"/>
    <w:multiLevelType w:val="hybridMultilevel"/>
    <w:tmpl w:val="0262A104"/>
    <w:lvl w:ilvl="0" w:tplc="B0F2CAD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87B26"/>
    <w:multiLevelType w:val="hybridMultilevel"/>
    <w:tmpl w:val="1346A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B2CA0"/>
    <w:multiLevelType w:val="hybridMultilevel"/>
    <w:tmpl w:val="828E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72D51"/>
    <w:multiLevelType w:val="hybridMultilevel"/>
    <w:tmpl w:val="9654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E1AAB"/>
    <w:multiLevelType w:val="hybridMultilevel"/>
    <w:tmpl w:val="A218F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81937"/>
    <w:multiLevelType w:val="hybridMultilevel"/>
    <w:tmpl w:val="1774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85C"/>
    <w:rsid w:val="0000147C"/>
    <w:rsid w:val="00003D7E"/>
    <w:rsid w:val="0000595B"/>
    <w:rsid w:val="00010A26"/>
    <w:rsid w:val="00010B02"/>
    <w:rsid w:val="000156F7"/>
    <w:rsid w:val="00052422"/>
    <w:rsid w:val="00056980"/>
    <w:rsid w:val="00090754"/>
    <w:rsid w:val="0009256A"/>
    <w:rsid w:val="000D71CE"/>
    <w:rsid w:val="000E2F31"/>
    <w:rsid w:val="000E3E13"/>
    <w:rsid w:val="000E7CFA"/>
    <w:rsid w:val="000F3344"/>
    <w:rsid w:val="00103E74"/>
    <w:rsid w:val="00114B6F"/>
    <w:rsid w:val="0012534B"/>
    <w:rsid w:val="001424C4"/>
    <w:rsid w:val="00142BEC"/>
    <w:rsid w:val="00173DFA"/>
    <w:rsid w:val="00184C8B"/>
    <w:rsid w:val="00192E37"/>
    <w:rsid w:val="0019564A"/>
    <w:rsid w:val="001A0C56"/>
    <w:rsid w:val="001A4C7B"/>
    <w:rsid w:val="001B2077"/>
    <w:rsid w:val="001B56E2"/>
    <w:rsid w:val="001B70C3"/>
    <w:rsid w:val="001B72AB"/>
    <w:rsid w:val="001C2C29"/>
    <w:rsid w:val="001D4A69"/>
    <w:rsid w:val="001E36AB"/>
    <w:rsid w:val="002018B7"/>
    <w:rsid w:val="00204CEF"/>
    <w:rsid w:val="00205E38"/>
    <w:rsid w:val="00231381"/>
    <w:rsid w:val="002321C8"/>
    <w:rsid w:val="00233C56"/>
    <w:rsid w:val="002353CE"/>
    <w:rsid w:val="002377D8"/>
    <w:rsid w:val="0024193D"/>
    <w:rsid w:val="00250CF9"/>
    <w:rsid w:val="00256FC3"/>
    <w:rsid w:val="002633BA"/>
    <w:rsid w:val="00271DDF"/>
    <w:rsid w:val="002A166C"/>
    <w:rsid w:val="002B2B7D"/>
    <w:rsid w:val="002C1423"/>
    <w:rsid w:val="002C5DB6"/>
    <w:rsid w:val="002D2951"/>
    <w:rsid w:val="002D3829"/>
    <w:rsid w:val="002D3AB5"/>
    <w:rsid w:val="002E189C"/>
    <w:rsid w:val="002E7624"/>
    <w:rsid w:val="002F01B6"/>
    <w:rsid w:val="002F6270"/>
    <w:rsid w:val="00303BE4"/>
    <w:rsid w:val="00315DEF"/>
    <w:rsid w:val="00354F04"/>
    <w:rsid w:val="00364797"/>
    <w:rsid w:val="003770C9"/>
    <w:rsid w:val="00380EEE"/>
    <w:rsid w:val="00382ED7"/>
    <w:rsid w:val="00390907"/>
    <w:rsid w:val="00395506"/>
    <w:rsid w:val="00397749"/>
    <w:rsid w:val="003C2A2E"/>
    <w:rsid w:val="003D0984"/>
    <w:rsid w:val="00420432"/>
    <w:rsid w:val="00425C78"/>
    <w:rsid w:val="00441403"/>
    <w:rsid w:val="00442AF2"/>
    <w:rsid w:val="00446A4B"/>
    <w:rsid w:val="00450EA6"/>
    <w:rsid w:val="00453FFF"/>
    <w:rsid w:val="00454854"/>
    <w:rsid w:val="0047151E"/>
    <w:rsid w:val="004A3363"/>
    <w:rsid w:val="004B76A0"/>
    <w:rsid w:val="004D38C0"/>
    <w:rsid w:val="004E1AE3"/>
    <w:rsid w:val="004F69A8"/>
    <w:rsid w:val="00513523"/>
    <w:rsid w:val="00516D09"/>
    <w:rsid w:val="005268F1"/>
    <w:rsid w:val="0053373D"/>
    <w:rsid w:val="00537BDF"/>
    <w:rsid w:val="00547687"/>
    <w:rsid w:val="00554026"/>
    <w:rsid w:val="00556F57"/>
    <w:rsid w:val="005731A3"/>
    <w:rsid w:val="00580887"/>
    <w:rsid w:val="00583812"/>
    <w:rsid w:val="005854A1"/>
    <w:rsid w:val="00586C4F"/>
    <w:rsid w:val="005870CC"/>
    <w:rsid w:val="005933C7"/>
    <w:rsid w:val="005A4625"/>
    <w:rsid w:val="005A64B0"/>
    <w:rsid w:val="005C1C50"/>
    <w:rsid w:val="005C2BB6"/>
    <w:rsid w:val="005C3396"/>
    <w:rsid w:val="005E7634"/>
    <w:rsid w:val="005F7E93"/>
    <w:rsid w:val="00636721"/>
    <w:rsid w:val="00651616"/>
    <w:rsid w:val="00652A2C"/>
    <w:rsid w:val="00665391"/>
    <w:rsid w:val="00685731"/>
    <w:rsid w:val="006864C7"/>
    <w:rsid w:val="00690FAE"/>
    <w:rsid w:val="0069614D"/>
    <w:rsid w:val="006A6EEC"/>
    <w:rsid w:val="006C0F8B"/>
    <w:rsid w:val="006D0DAA"/>
    <w:rsid w:val="006D234C"/>
    <w:rsid w:val="006E22CC"/>
    <w:rsid w:val="006F149D"/>
    <w:rsid w:val="006F432E"/>
    <w:rsid w:val="007078B0"/>
    <w:rsid w:val="00716A89"/>
    <w:rsid w:val="00725917"/>
    <w:rsid w:val="00747B8B"/>
    <w:rsid w:val="00751216"/>
    <w:rsid w:val="00766824"/>
    <w:rsid w:val="00775C50"/>
    <w:rsid w:val="00780EF0"/>
    <w:rsid w:val="0079342E"/>
    <w:rsid w:val="00794D50"/>
    <w:rsid w:val="007A0924"/>
    <w:rsid w:val="007B7DD0"/>
    <w:rsid w:val="007C5E17"/>
    <w:rsid w:val="007D2479"/>
    <w:rsid w:val="007D2E4B"/>
    <w:rsid w:val="007E1B2F"/>
    <w:rsid w:val="007F469C"/>
    <w:rsid w:val="00802045"/>
    <w:rsid w:val="00813DF0"/>
    <w:rsid w:val="00821355"/>
    <w:rsid w:val="00821B9C"/>
    <w:rsid w:val="00826B1B"/>
    <w:rsid w:val="00842DAE"/>
    <w:rsid w:val="0085003E"/>
    <w:rsid w:val="00850D4B"/>
    <w:rsid w:val="008519E9"/>
    <w:rsid w:val="00856B23"/>
    <w:rsid w:val="00866D3F"/>
    <w:rsid w:val="008A09D5"/>
    <w:rsid w:val="008C085C"/>
    <w:rsid w:val="008D7AD4"/>
    <w:rsid w:val="008D7B1F"/>
    <w:rsid w:val="008F01A0"/>
    <w:rsid w:val="0091154A"/>
    <w:rsid w:val="00926A74"/>
    <w:rsid w:val="00926F75"/>
    <w:rsid w:val="00951134"/>
    <w:rsid w:val="009600FC"/>
    <w:rsid w:val="00970B53"/>
    <w:rsid w:val="00975662"/>
    <w:rsid w:val="00982313"/>
    <w:rsid w:val="00991747"/>
    <w:rsid w:val="009B0154"/>
    <w:rsid w:val="009B4CA6"/>
    <w:rsid w:val="009B5CF7"/>
    <w:rsid w:val="009C02AB"/>
    <w:rsid w:val="009C17C1"/>
    <w:rsid w:val="009D4ADF"/>
    <w:rsid w:val="009E01E2"/>
    <w:rsid w:val="009E3D75"/>
    <w:rsid w:val="00A02306"/>
    <w:rsid w:val="00A02EDA"/>
    <w:rsid w:val="00A223B9"/>
    <w:rsid w:val="00A24B73"/>
    <w:rsid w:val="00A312B2"/>
    <w:rsid w:val="00A431F2"/>
    <w:rsid w:val="00A46842"/>
    <w:rsid w:val="00A479E9"/>
    <w:rsid w:val="00A509CB"/>
    <w:rsid w:val="00A535C5"/>
    <w:rsid w:val="00A54ECB"/>
    <w:rsid w:val="00A62E99"/>
    <w:rsid w:val="00A64A5D"/>
    <w:rsid w:val="00AC51CB"/>
    <w:rsid w:val="00B02493"/>
    <w:rsid w:val="00B02C60"/>
    <w:rsid w:val="00B043B6"/>
    <w:rsid w:val="00B06B7A"/>
    <w:rsid w:val="00B07F70"/>
    <w:rsid w:val="00B10962"/>
    <w:rsid w:val="00B21F95"/>
    <w:rsid w:val="00B3043C"/>
    <w:rsid w:val="00B407D4"/>
    <w:rsid w:val="00B5031E"/>
    <w:rsid w:val="00B57A24"/>
    <w:rsid w:val="00B65AF3"/>
    <w:rsid w:val="00B71304"/>
    <w:rsid w:val="00B7160C"/>
    <w:rsid w:val="00B95726"/>
    <w:rsid w:val="00BB337D"/>
    <w:rsid w:val="00BD7482"/>
    <w:rsid w:val="00BE0382"/>
    <w:rsid w:val="00BF539F"/>
    <w:rsid w:val="00C166CE"/>
    <w:rsid w:val="00C221D5"/>
    <w:rsid w:val="00C27288"/>
    <w:rsid w:val="00C326E3"/>
    <w:rsid w:val="00C36BB2"/>
    <w:rsid w:val="00C46280"/>
    <w:rsid w:val="00CA59FC"/>
    <w:rsid w:val="00CB0211"/>
    <w:rsid w:val="00CB16F2"/>
    <w:rsid w:val="00CE404A"/>
    <w:rsid w:val="00CE52D7"/>
    <w:rsid w:val="00CF28E5"/>
    <w:rsid w:val="00CF6557"/>
    <w:rsid w:val="00D25916"/>
    <w:rsid w:val="00D34509"/>
    <w:rsid w:val="00D41921"/>
    <w:rsid w:val="00D42B7D"/>
    <w:rsid w:val="00D45015"/>
    <w:rsid w:val="00D46DF9"/>
    <w:rsid w:val="00D5436B"/>
    <w:rsid w:val="00D63E9B"/>
    <w:rsid w:val="00D7557A"/>
    <w:rsid w:val="00D92586"/>
    <w:rsid w:val="00D947A9"/>
    <w:rsid w:val="00DA049C"/>
    <w:rsid w:val="00DA3682"/>
    <w:rsid w:val="00DA60FC"/>
    <w:rsid w:val="00DF22EC"/>
    <w:rsid w:val="00E2105D"/>
    <w:rsid w:val="00E23B32"/>
    <w:rsid w:val="00E50A59"/>
    <w:rsid w:val="00EA5D04"/>
    <w:rsid w:val="00EB3D41"/>
    <w:rsid w:val="00EC137C"/>
    <w:rsid w:val="00EF19F5"/>
    <w:rsid w:val="00F43F35"/>
    <w:rsid w:val="00F741C2"/>
    <w:rsid w:val="00F946D8"/>
    <w:rsid w:val="00FB40B1"/>
    <w:rsid w:val="00FC266F"/>
    <w:rsid w:val="00FC5DE9"/>
    <w:rsid w:val="00FD2636"/>
    <w:rsid w:val="00FD5F98"/>
    <w:rsid w:val="00FE465D"/>
    <w:rsid w:val="00FE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B64CD"/>
  <w15:chartTrackingRefBased/>
  <w15:docId w15:val="{83EA9323-0302-46F8-AED5-EA642B18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85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42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4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24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010A26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46280"/>
    <w:rPr>
      <w:i/>
      <w:iCs/>
    </w:rPr>
  </w:style>
  <w:style w:type="paragraph" w:styleId="ListParagraph">
    <w:name w:val="List Paragraph"/>
    <w:basedOn w:val="Normal"/>
    <w:uiPriority w:val="34"/>
    <w:qFormat/>
    <w:rsid w:val="005870C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4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95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842DAE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842DAE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842DAE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842DAE"/>
    <w:pPr>
      <w:spacing w:after="100"/>
      <w:ind w:left="440"/>
    </w:pPr>
    <w:rPr>
      <w:rFonts w:eastAsiaTheme="minorEastAsia" w:cs="Times New Roman"/>
    </w:rPr>
  </w:style>
  <w:style w:type="paragraph" w:styleId="NoSpacing">
    <w:name w:val="No Spacing"/>
    <w:link w:val="NoSpacingChar"/>
    <w:uiPriority w:val="1"/>
    <w:qFormat/>
    <w:rsid w:val="00842DA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42DAE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D75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5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5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5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5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4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ECB"/>
  </w:style>
  <w:style w:type="paragraph" w:styleId="Footer">
    <w:name w:val="footer"/>
    <w:basedOn w:val="Normal"/>
    <w:link w:val="FooterChar"/>
    <w:uiPriority w:val="99"/>
    <w:unhideWhenUsed/>
    <w:rsid w:val="00A54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98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924">
      <w:bodyDiv w:val="1"/>
      <w:marLeft w:val="0"/>
      <w:marRight w:val="0"/>
      <w:marTop w:val="0"/>
      <w:marBottom w:val="0"/>
      <w:divBdr>
        <w:top w:val="single" w:sz="2" w:space="4" w:color="000000"/>
        <w:left w:val="single" w:sz="2" w:space="4" w:color="000000"/>
        <w:bottom w:val="single" w:sz="2" w:space="4" w:color="000000"/>
        <w:right w:val="single" w:sz="2" w:space="4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trace.tennessee.edu/utk_graddiss/71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http://www.vipinkhandelwal.com/predictions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2019-02-28T00:00:00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97E996-E47A-4FDC-B1FC-1740E0FF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3341</Words>
  <Characters>19046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Refinement of a Predictive Model for Progression Risk for Undergraduate Students</vt:lpstr>
    </vt:vector>
  </TitlesOfParts>
  <Company>University of Idaho</Company>
  <LinksUpToDate>false</LinksUpToDate>
  <CharactersWithSpaces>22343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Refinement of a Predictive Model for Progression Risk for Undergraduate Students</dc:title>
  <dc:subject/>
  <dc:creator>Institutional Effectiveness and Accreditation</dc:creator>
  <cp:keywords/>
  <dc:description/>
  <cp:lastModifiedBy>Pietrzak, Dale (dalepietrzak@uidaho.edu)</cp:lastModifiedBy>
  <cp:revision>6</cp:revision>
  <dcterms:created xsi:type="dcterms:W3CDTF">2019-03-07T14:27:00Z</dcterms:created>
  <dcterms:modified xsi:type="dcterms:W3CDTF">2019-03-07T15:34:00Z</dcterms:modified>
</cp:coreProperties>
</file>