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C0" w:rsidRDefault="001961C0" w:rsidP="001961C0">
      <w:pPr>
        <w:pStyle w:val="Title"/>
        <w:jc w:val="center"/>
      </w:pPr>
      <w:r>
        <w:t>Biohazardous Waste and Sharps Disposal</w:t>
      </w:r>
    </w:p>
    <w:p w:rsidR="001961C0" w:rsidRDefault="001961C0" w:rsidP="001961C0">
      <w:pPr>
        <w:jc w:val="center"/>
        <w:rPr>
          <w:sz w:val="28"/>
          <w:szCs w:val="28"/>
        </w:rPr>
      </w:pPr>
      <w:r>
        <w:rPr>
          <w:sz w:val="28"/>
          <w:szCs w:val="28"/>
        </w:rPr>
        <w:t>Audrey Harris, Biosafety Officer</w:t>
      </w:r>
    </w:p>
    <w:p w:rsidR="001961C0" w:rsidRPr="00095807" w:rsidRDefault="005C1679" w:rsidP="001961C0">
      <w:pPr>
        <w:jc w:val="center"/>
        <w:rPr>
          <w:sz w:val="28"/>
          <w:szCs w:val="28"/>
        </w:rPr>
      </w:pPr>
      <w:r>
        <w:rPr>
          <w:sz w:val="28"/>
          <w:szCs w:val="28"/>
        </w:rPr>
        <w:t xml:space="preserve">Version January </w:t>
      </w:r>
      <w:proofErr w:type="gramStart"/>
      <w:r>
        <w:rPr>
          <w:sz w:val="28"/>
          <w:szCs w:val="28"/>
        </w:rPr>
        <w:t>27</w:t>
      </w:r>
      <w:r w:rsidR="001961C0" w:rsidRPr="00802CE7">
        <w:rPr>
          <w:sz w:val="28"/>
          <w:szCs w:val="28"/>
          <w:vertAlign w:val="superscript"/>
        </w:rPr>
        <w:t>th</w:t>
      </w:r>
      <w:proofErr w:type="gramEnd"/>
      <w:r w:rsidR="001961C0">
        <w:rPr>
          <w:sz w:val="28"/>
          <w:szCs w:val="28"/>
        </w:rPr>
        <w:t>, 2017</w:t>
      </w:r>
    </w:p>
    <w:p w:rsidR="001961C0" w:rsidRDefault="001961C0" w:rsidP="001961C0">
      <w:pPr>
        <w:pStyle w:val="NoSpacing"/>
        <w:rPr>
          <w:b/>
          <w:i/>
          <w:sz w:val="24"/>
          <w:szCs w:val="24"/>
        </w:rPr>
      </w:pPr>
    </w:p>
    <w:p w:rsidR="001961C0" w:rsidRPr="008D1EFF" w:rsidRDefault="001961C0" w:rsidP="001961C0">
      <w:pPr>
        <w:pStyle w:val="NoSpacing"/>
        <w:rPr>
          <w:b/>
          <w:i/>
          <w:sz w:val="24"/>
          <w:szCs w:val="24"/>
        </w:rPr>
      </w:pPr>
      <w:r w:rsidRPr="008D1EFF">
        <w:rPr>
          <w:b/>
          <w:i/>
          <w:sz w:val="24"/>
          <w:szCs w:val="24"/>
        </w:rPr>
        <w:t>Preamble</w:t>
      </w:r>
    </w:p>
    <w:p w:rsidR="00E602AD" w:rsidRPr="00E602AD" w:rsidRDefault="001961C0" w:rsidP="001961C0">
      <w:pPr>
        <w:pStyle w:val="NoSpacing"/>
        <w:rPr>
          <w:i/>
        </w:rPr>
      </w:pPr>
      <w:r>
        <w:rPr>
          <w:i/>
        </w:rPr>
        <w:t xml:space="preserve">Biohazardous sharps and other biohazardous waste </w:t>
      </w:r>
      <w:proofErr w:type="gramStart"/>
      <w:r>
        <w:rPr>
          <w:i/>
        </w:rPr>
        <w:t>must be handled</w:t>
      </w:r>
      <w:proofErr w:type="gramEnd"/>
      <w:r>
        <w:rPr>
          <w:i/>
        </w:rPr>
        <w:t xml:space="preserve"> in specific ways, in order to comply with institutional, local, state and federal laws, policy and guidelines. This policy will outline how to safely and compliantly dispose of biohazard contaminated sharps and other </w:t>
      </w:r>
      <w:proofErr w:type="gramStart"/>
      <w:r>
        <w:rPr>
          <w:i/>
        </w:rPr>
        <w:t>biohazard contaminated</w:t>
      </w:r>
      <w:proofErr w:type="gramEnd"/>
      <w:r>
        <w:rPr>
          <w:i/>
        </w:rPr>
        <w:t xml:space="preserve"> waste.</w:t>
      </w:r>
    </w:p>
    <w:p w:rsidR="001961C0" w:rsidRDefault="001961C0" w:rsidP="001961C0">
      <w:pPr>
        <w:rPr>
          <w:i/>
        </w:rPr>
      </w:pPr>
    </w:p>
    <w:p w:rsidR="001961C0" w:rsidRPr="00987050" w:rsidRDefault="001961C0" w:rsidP="001961C0">
      <w:pPr>
        <w:pStyle w:val="NoSpacing"/>
        <w:rPr>
          <w:i/>
          <w:sz w:val="24"/>
          <w:szCs w:val="24"/>
        </w:rPr>
      </w:pPr>
    </w:p>
    <w:sdt>
      <w:sdtPr>
        <w:rPr>
          <w:rFonts w:eastAsiaTheme="minorHAnsi" w:cstheme="minorBidi"/>
          <w:b w:val="0"/>
          <w:sz w:val="22"/>
          <w:szCs w:val="22"/>
        </w:rPr>
        <w:id w:val="-112212704"/>
        <w:docPartObj>
          <w:docPartGallery w:val="Table of Contents"/>
          <w:docPartUnique/>
        </w:docPartObj>
      </w:sdtPr>
      <w:sdtEndPr>
        <w:rPr>
          <w:bCs/>
          <w:noProof/>
        </w:rPr>
      </w:sdtEndPr>
      <w:sdtContent>
        <w:p w:rsidR="001961C0" w:rsidRDefault="001961C0" w:rsidP="001961C0">
          <w:pPr>
            <w:pStyle w:val="TOCHeading"/>
          </w:pPr>
          <w:r>
            <w:t>Contents</w:t>
          </w:r>
        </w:p>
        <w:p w:rsidR="005C1679" w:rsidRDefault="001961C0">
          <w:pPr>
            <w:pStyle w:val="TOC1"/>
            <w:rPr>
              <w:rFonts w:eastAsiaTheme="minorEastAsia"/>
              <w:noProof/>
            </w:rPr>
          </w:pPr>
          <w:r>
            <w:fldChar w:fldCharType="begin"/>
          </w:r>
          <w:r>
            <w:instrText xml:space="preserve"> TOC \o "1-3" \h \z \u </w:instrText>
          </w:r>
          <w:r>
            <w:fldChar w:fldCharType="separate"/>
          </w:r>
          <w:hyperlink w:anchor="_Toc473286136" w:history="1">
            <w:r w:rsidR="005C1679" w:rsidRPr="003C0B14">
              <w:rPr>
                <w:rStyle w:val="Hyperlink"/>
                <w:noProof/>
              </w:rPr>
              <w:t>I.</w:t>
            </w:r>
            <w:r w:rsidR="005C1679">
              <w:rPr>
                <w:rFonts w:eastAsiaTheme="minorEastAsia"/>
                <w:noProof/>
              </w:rPr>
              <w:tab/>
            </w:r>
            <w:r w:rsidR="005C1679" w:rsidRPr="003C0B14">
              <w:rPr>
                <w:rStyle w:val="Hyperlink"/>
                <w:noProof/>
              </w:rPr>
              <w:t>Definitions</w:t>
            </w:r>
            <w:r w:rsidR="005C1679">
              <w:rPr>
                <w:noProof/>
                <w:webHidden/>
              </w:rPr>
              <w:tab/>
            </w:r>
            <w:r w:rsidR="005C1679">
              <w:rPr>
                <w:noProof/>
                <w:webHidden/>
              </w:rPr>
              <w:fldChar w:fldCharType="begin"/>
            </w:r>
            <w:r w:rsidR="005C1679">
              <w:rPr>
                <w:noProof/>
                <w:webHidden/>
              </w:rPr>
              <w:instrText xml:space="preserve"> PAGEREF _Toc473286136 \h </w:instrText>
            </w:r>
            <w:r w:rsidR="005C1679">
              <w:rPr>
                <w:noProof/>
                <w:webHidden/>
              </w:rPr>
            </w:r>
            <w:r w:rsidR="005C1679">
              <w:rPr>
                <w:noProof/>
                <w:webHidden/>
              </w:rPr>
              <w:fldChar w:fldCharType="separate"/>
            </w:r>
            <w:r w:rsidR="00E602AD">
              <w:rPr>
                <w:noProof/>
                <w:webHidden/>
              </w:rPr>
              <w:t>2</w:t>
            </w:r>
            <w:r w:rsidR="005C1679">
              <w:rPr>
                <w:noProof/>
                <w:webHidden/>
              </w:rPr>
              <w:fldChar w:fldCharType="end"/>
            </w:r>
          </w:hyperlink>
        </w:p>
        <w:p w:rsidR="005C1679" w:rsidRDefault="00611AAD">
          <w:pPr>
            <w:pStyle w:val="TOC1"/>
            <w:rPr>
              <w:rFonts w:eastAsiaTheme="minorEastAsia"/>
              <w:noProof/>
            </w:rPr>
          </w:pPr>
          <w:hyperlink w:anchor="_Toc473286140" w:history="1">
            <w:r w:rsidR="005C1679" w:rsidRPr="003C0B14">
              <w:rPr>
                <w:rStyle w:val="Hyperlink"/>
                <w:noProof/>
              </w:rPr>
              <w:t>II.</w:t>
            </w:r>
            <w:r w:rsidR="005C1679">
              <w:rPr>
                <w:rFonts w:eastAsiaTheme="minorEastAsia"/>
                <w:noProof/>
              </w:rPr>
              <w:tab/>
            </w:r>
            <w:r w:rsidR="005C1679" w:rsidRPr="003C0B14">
              <w:rPr>
                <w:rStyle w:val="Hyperlink"/>
                <w:noProof/>
              </w:rPr>
              <w:t>Scope</w:t>
            </w:r>
            <w:r w:rsidR="005C1679">
              <w:rPr>
                <w:noProof/>
                <w:webHidden/>
              </w:rPr>
              <w:tab/>
            </w:r>
            <w:r w:rsidR="005C1679">
              <w:rPr>
                <w:noProof/>
                <w:webHidden/>
              </w:rPr>
              <w:fldChar w:fldCharType="begin"/>
            </w:r>
            <w:r w:rsidR="005C1679">
              <w:rPr>
                <w:noProof/>
                <w:webHidden/>
              </w:rPr>
              <w:instrText xml:space="preserve"> PAGEREF _Toc473286140 \h </w:instrText>
            </w:r>
            <w:r w:rsidR="005C1679">
              <w:rPr>
                <w:noProof/>
                <w:webHidden/>
              </w:rPr>
            </w:r>
            <w:r w:rsidR="005C1679">
              <w:rPr>
                <w:noProof/>
                <w:webHidden/>
              </w:rPr>
              <w:fldChar w:fldCharType="separate"/>
            </w:r>
            <w:r w:rsidR="00E602AD">
              <w:rPr>
                <w:noProof/>
                <w:webHidden/>
              </w:rPr>
              <w:t>2</w:t>
            </w:r>
            <w:r w:rsidR="005C1679">
              <w:rPr>
                <w:noProof/>
                <w:webHidden/>
              </w:rPr>
              <w:fldChar w:fldCharType="end"/>
            </w:r>
          </w:hyperlink>
        </w:p>
        <w:p w:rsidR="005C1679" w:rsidRDefault="00611AAD">
          <w:pPr>
            <w:pStyle w:val="TOC1"/>
            <w:rPr>
              <w:rFonts w:eastAsiaTheme="minorEastAsia"/>
              <w:noProof/>
            </w:rPr>
          </w:pPr>
          <w:hyperlink w:anchor="_Toc473286142" w:history="1">
            <w:r w:rsidR="005C1679" w:rsidRPr="003C0B14">
              <w:rPr>
                <w:rStyle w:val="Hyperlink"/>
                <w:noProof/>
              </w:rPr>
              <w:t>III.</w:t>
            </w:r>
            <w:r w:rsidR="005C1679">
              <w:rPr>
                <w:rFonts w:eastAsiaTheme="minorEastAsia"/>
                <w:noProof/>
              </w:rPr>
              <w:tab/>
            </w:r>
            <w:r w:rsidR="005C1679" w:rsidRPr="003C0B14">
              <w:rPr>
                <w:rStyle w:val="Hyperlink"/>
                <w:noProof/>
              </w:rPr>
              <w:t>Policy</w:t>
            </w:r>
            <w:r w:rsidR="005C1679">
              <w:rPr>
                <w:noProof/>
                <w:webHidden/>
              </w:rPr>
              <w:tab/>
            </w:r>
            <w:r w:rsidR="005C1679">
              <w:rPr>
                <w:noProof/>
                <w:webHidden/>
              </w:rPr>
              <w:fldChar w:fldCharType="begin"/>
            </w:r>
            <w:r w:rsidR="005C1679">
              <w:rPr>
                <w:noProof/>
                <w:webHidden/>
              </w:rPr>
              <w:instrText xml:space="preserve"> PAGEREF _Toc473286142 \h </w:instrText>
            </w:r>
            <w:r w:rsidR="005C1679">
              <w:rPr>
                <w:noProof/>
                <w:webHidden/>
              </w:rPr>
            </w:r>
            <w:r w:rsidR="005C1679">
              <w:rPr>
                <w:noProof/>
                <w:webHidden/>
              </w:rPr>
              <w:fldChar w:fldCharType="separate"/>
            </w:r>
            <w:r w:rsidR="00E602AD">
              <w:rPr>
                <w:noProof/>
                <w:webHidden/>
              </w:rPr>
              <w:t>2</w:t>
            </w:r>
            <w:r w:rsidR="005C1679">
              <w:rPr>
                <w:noProof/>
                <w:webHidden/>
              </w:rPr>
              <w:fldChar w:fldCharType="end"/>
            </w:r>
          </w:hyperlink>
        </w:p>
        <w:p w:rsidR="005C1679" w:rsidRDefault="00611AAD">
          <w:pPr>
            <w:pStyle w:val="TOC1"/>
            <w:rPr>
              <w:rFonts w:eastAsiaTheme="minorEastAsia"/>
              <w:noProof/>
            </w:rPr>
          </w:pPr>
          <w:hyperlink w:anchor="_Toc473286144" w:history="1">
            <w:r w:rsidR="005C1679" w:rsidRPr="003C0B14">
              <w:rPr>
                <w:rStyle w:val="Hyperlink"/>
                <w:noProof/>
              </w:rPr>
              <w:t>IV.</w:t>
            </w:r>
            <w:r w:rsidR="005C1679">
              <w:rPr>
                <w:rFonts w:eastAsiaTheme="minorEastAsia"/>
                <w:noProof/>
              </w:rPr>
              <w:tab/>
            </w:r>
            <w:r w:rsidR="005C1679" w:rsidRPr="003C0B14">
              <w:rPr>
                <w:rStyle w:val="Hyperlink"/>
                <w:noProof/>
              </w:rPr>
              <w:t>Procedures – Decontamination</w:t>
            </w:r>
            <w:r w:rsidR="005C1679">
              <w:rPr>
                <w:noProof/>
                <w:webHidden/>
              </w:rPr>
              <w:tab/>
            </w:r>
            <w:r w:rsidR="005C1679">
              <w:rPr>
                <w:noProof/>
                <w:webHidden/>
              </w:rPr>
              <w:fldChar w:fldCharType="begin"/>
            </w:r>
            <w:r w:rsidR="005C1679">
              <w:rPr>
                <w:noProof/>
                <w:webHidden/>
              </w:rPr>
              <w:instrText xml:space="preserve"> PAGEREF _Toc473286144 \h </w:instrText>
            </w:r>
            <w:r w:rsidR="005C1679">
              <w:rPr>
                <w:noProof/>
                <w:webHidden/>
              </w:rPr>
            </w:r>
            <w:r w:rsidR="005C1679">
              <w:rPr>
                <w:noProof/>
                <w:webHidden/>
              </w:rPr>
              <w:fldChar w:fldCharType="separate"/>
            </w:r>
            <w:r w:rsidR="00E602AD">
              <w:rPr>
                <w:noProof/>
                <w:webHidden/>
              </w:rPr>
              <w:t>2</w:t>
            </w:r>
            <w:r w:rsidR="005C1679">
              <w:rPr>
                <w:noProof/>
                <w:webHidden/>
              </w:rPr>
              <w:fldChar w:fldCharType="end"/>
            </w:r>
          </w:hyperlink>
        </w:p>
        <w:p w:rsidR="005C1679" w:rsidRDefault="00611AAD">
          <w:pPr>
            <w:pStyle w:val="TOC1"/>
            <w:rPr>
              <w:rFonts w:eastAsiaTheme="minorEastAsia"/>
              <w:noProof/>
            </w:rPr>
          </w:pPr>
          <w:hyperlink w:anchor="_Toc473286156" w:history="1">
            <w:r w:rsidR="005C1679" w:rsidRPr="003C0B14">
              <w:rPr>
                <w:rStyle w:val="Hyperlink"/>
                <w:noProof/>
              </w:rPr>
              <w:t>V.</w:t>
            </w:r>
            <w:r w:rsidR="005C1679">
              <w:rPr>
                <w:rFonts w:eastAsiaTheme="minorEastAsia"/>
                <w:noProof/>
              </w:rPr>
              <w:tab/>
            </w:r>
            <w:r w:rsidR="005C1679" w:rsidRPr="003C0B14">
              <w:rPr>
                <w:rStyle w:val="Hyperlink"/>
                <w:noProof/>
              </w:rPr>
              <w:t>References</w:t>
            </w:r>
            <w:r w:rsidR="005C1679">
              <w:rPr>
                <w:noProof/>
                <w:webHidden/>
              </w:rPr>
              <w:tab/>
            </w:r>
            <w:r w:rsidR="005C1679">
              <w:rPr>
                <w:noProof/>
                <w:webHidden/>
              </w:rPr>
              <w:fldChar w:fldCharType="begin"/>
            </w:r>
            <w:r w:rsidR="005C1679">
              <w:rPr>
                <w:noProof/>
                <w:webHidden/>
              </w:rPr>
              <w:instrText xml:space="preserve"> PAGEREF _Toc473286156 \h </w:instrText>
            </w:r>
            <w:r w:rsidR="005C1679">
              <w:rPr>
                <w:noProof/>
                <w:webHidden/>
              </w:rPr>
            </w:r>
            <w:r w:rsidR="005C1679">
              <w:rPr>
                <w:noProof/>
                <w:webHidden/>
              </w:rPr>
              <w:fldChar w:fldCharType="separate"/>
            </w:r>
            <w:r w:rsidR="00E602AD">
              <w:rPr>
                <w:noProof/>
                <w:webHidden/>
              </w:rPr>
              <w:t>3</w:t>
            </w:r>
            <w:r w:rsidR="005C1679">
              <w:rPr>
                <w:noProof/>
                <w:webHidden/>
              </w:rPr>
              <w:fldChar w:fldCharType="end"/>
            </w:r>
          </w:hyperlink>
        </w:p>
        <w:p w:rsidR="001961C0" w:rsidRDefault="001961C0" w:rsidP="001961C0">
          <w:r>
            <w:rPr>
              <w:b/>
              <w:bCs/>
              <w:noProof/>
            </w:rPr>
            <w:fldChar w:fldCharType="end"/>
          </w:r>
        </w:p>
        <w:bookmarkStart w:id="0" w:name="_GoBack" w:displacedByCustomXml="next"/>
        <w:bookmarkEnd w:id="0" w:displacedByCustomXml="next"/>
      </w:sdtContent>
    </w:sdt>
    <w:p w:rsidR="001961C0" w:rsidRDefault="001961C0" w:rsidP="001961C0">
      <w:pPr>
        <w:pStyle w:val="Heading1"/>
      </w:pPr>
      <w:bookmarkStart w:id="1" w:name="_Toc473286136"/>
      <w:r w:rsidRPr="00FF20D4">
        <w:lastRenderedPageBreak/>
        <w:t>Definitions</w:t>
      </w:r>
      <w:bookmarkEnd w:id="1"/>
    </w:p>
    <w:p w:rsidR="001961C0" w:rsidRPr="001961C0" w:rsidRDefault="001961C0" w:rsidP="001961C0">
      <w:pPr>
        <w:pStyle w:val="Heading2"/>
        <w:rPr>
          <w:b w:val="0"/>
        </w:rPr>
      </w:pPr>
      <w:bookmarkStart w:id="2" w:name="_Toc473286137"/>
      <w:r w:rsidRPr="001961C0">
        <w:rPr>
          <w:b w:val="0"/>
        </w:rPr>
        <w:t xml:space="preserve">Biohazard: Any bacteria, recombinant DNA, synthetic DNA, recombinant (genetically modified) organisms, fungi, viruses, rickettsia, </w:t>
      </w:r>
      <w:proofErr w:type="spellStart"/>
      <w:r w:rsidRPr="001961C0">
        <w:rPr>
          <w:b w:val="0"/>
        </w:rPr>
        <w:t>chlamydiae</w:t>
      </w:r>
      <w:proofErr w:type="spellEnd"/>
      <w:r w:rsidRPr="001961C0">
        <w:rPr>
          <w:b w:val="0"/>
        </w:rPr>
        <w:t xml:space="preserve">, parasites, allergens, </w:t>
      </w:r>
      <w:proofErr w:type="spellStart"/>
      <w:r w:rsidRPr="001961C0">
        <w:rPr>
          <w:b w:val="0"/>
        </w:rPr>
        <w:t>viroids</w:t>
      </w:r>
      <w:proofErr w:type="spellEnd"/>
      <w:r w:rsidRPr="001961C0">
        <w:rPr>
          <w:b w:val="0"/>
        </w:rPr>
        <w:t xml:space="preserve">, </w:t>
      </w:r>
      <w:proofErr w:type="spellStart"/>
      <w:r w:rsidRPr="001961C0">
        <w:rPr>
          <w:b w:val="0"/>
        </w:rPr>
        <w:t>virions</w:t>
      </w:r>
      <w:proofErr w:type="spellEnd"/>
      <w:r w:rsidRPr="001961C0">
        <w:rPr>
          <w:b w:val="0"/>
        </w:rPr>
        <w:t>, and prions that can be harmful to humans, animals, plants, or the environment.</w:t>
      </w:r>
      <w:bookmarkEnd w:id="2"/>
    </w:p>
    <w:p w:rsidR="001961C0" w:rsidRPr="001961C0" w:rsidRDefault="001961C0" w:rsidP="001961C0">
      <w:pPr>
        <w:pStyle w:val="Heading2"/>
        <w:rPr>
          <w:b w:val="0"/>
        </w:rPr>
      </w:pPr>
      <w:bookmarkStart w:id="3" w:name="_Toc473286138"/>
      <w:r w:rsidRPr="001961C0">
        <w:rPr>
          <w:b w:val="0"/>
        </w:rPr>
        <w:t xml:space="preserve">Biosafety Level: The level of containment, on a scale of BSL-1 to BSL-4, under which the biohazard </w:t>
      </w:r>
      <w:proofErr w:type="gramStart"/>
      <w:r w:rsidRPr="001961C0">
        <w:rPr>
          <w:b w:val="0"/>
        </w:rPr>
        <w:t>can be safely handled</w:t>
      </w:r>
      <w:proofErr w:type="gramEnd"/>
      <w:r w:rsidRPr="001961C0">
        <w:rPr>
          <w:b w:val="0"/>
        </w:rPr>
        <w:t xml:space="preserve">. As the biosafety level rises, the standards for laboratory practices, equipment, and facilities increase. The containment levels for animals housed in biosafety laboratories </w:t>
      </w:r>
      <w:proofErr w:type="gramStart"/>
      <w:r w:rsidRPr="001961C0">
        <w:rPr>
          <w:b w:val="0"/>
        </w:rPr>
        <w:t>are called</w:t>
      </w:r>
      <w:proofErr w:type="gramEnd"/>
      <w:r w:rsidRPr="001961C0">
        <w:rPr>
          <w:b w:val="0"/>
        </w:rPr>
        <w:t xml:space="preserve"> animal biosafety levels (ABSL). The NIH Guidelines and </w:t>
      </w:r>
      <w:r w:rsidRPr="001961C0">
        <w:rPr>
          <w:b w:val="0"/>
          <w:i/>
        </w:rPr>
        <w:t>Biosafety in Microbiological and Biomedical Laboratories Manual</w:t>
      </w:r>
      <w:r w:rsidRPr="001961C0">
        <w:rPr>
          <w:b w:val="0"/>
        </w:rPr>
        <w:t xml:space="preserve"> define the minimum standards that </w:t>
      </w:r>
      <w:proofErr w:type="gramStart"/>
      <w:r w:rsidRPr="001961C0">
        <w:rPr>
          <w:b w:val="0"/>
        </w:rPr>
        <w:t>must be met</w:t>
      </w:r>
      <w:proofErr w:type="gramEnd"/>
      <w:r w:rsidRPr="001961C0">
        <w:rPr>
          <w:b w:val="0"/>
        </w:rPr>
        <w:t xml:space="preserve"> at each biosafety level.</w:t>
      </w:r>
      <w:bookmarkEnd w:id="3"/>
    </w:p>
    <w:p w:rsidR="00D84DA0" w:rsidRDefault="00D84DA0" w:rsidP="00D84DA0">
      <w:pPr>
        <w:pStyle w:val="Heading2"/>
        <w:rPr>
          <w:b w:val="0"/>
        </w:rPr>
      </w:pPr>
      <w:r>
        <w:rPr>
          <w:b w:val="0"/>
        </w:rPr>
        <w:t>Biohazardous Waste: Cultures, stocks, sharps, PPE, or any other item contaminated with a biohazard or pathological waste, including blood, body fluids, and animal or human tissues, excludes teeth and fixed tissues.</w:t>
      </w:r>
    </w:p>
    <w:p w:rsidR="00D84DA0" w:rsidRPr="00D84DA0" w:rsidRDefault="00D84DA0" w:rsidP="00D84DA0">
      <w:pPr>
        <w:pStyle w:val="Heading2"/>
        <w:rPr>
          <w:b w:val="0"/>
        </w:rPr>
      </w:pPr>
      <w:r>
        <w:rPr>
          <w:b w:val="0"/>
        </w:rPr>
        <w:t xml:space="preserve">Sharps – needles, scalpels, pipette tips, or any other item that could cause wounding to personnel, or punctures of </w:t>
      </w:r>
      <w:proofErr w:type="gramStart"/>
      <w:r>
        <w:rPr>
          <w:b w:val="0"/>
        </w:rPr>
        <w:t>soft sided</w:t>
      </w:r>
      <w:proofErr w:type="gramEnd"/>
      <w:r>
        <w:rPr>
          <w:b w:val="0"/>
        </w:rPr>
        <w:t xml:space="preserve"> disposal, storage, or containment vessel(s).</w:t>
      </w:r>
    </w:p>
    <w:p w:rsidR="001961C0" w:rsidRDefault="001961C0" w:rsidP="001961C0">
      <w:pPr>
        <w:pStyle w:val="Heading1"/>
      </w:pPr>
      <w:bookmarkStart w:id="4" w:name="_Toc473286140"/>
      <w:r>
        <w:t>Scope</w:t>
      </w:r>
      <w:bookmarkEnd w:id="4"/>
    </w:p>
    <w:p w:rsidR="001961C0" w:rsidRPr="001961C0" w:rsidRDefault="001961C0" w:rsidP="001961C0">
      <w:pPr>
        <w:pStyle w:val="Heading2"/>
        <w:numPr>
          <w:ilvl w:val="0"/>
          <w:numId w:val="0"/>
        </w:numPr>
        <w:ind w:left="720"/>
        <w:rPr>
          <w:b w:val="0"/>
        </w:rPr>
      </w:pPr>
      <w:bookmarkStart w:id="5" w:name="_Toc473286141"/>
      <w:r w:rsidRPr="001961C0">
        <w:rPr>
          <w:b w:val="0"/>
        </w:rPr>
        <w:t>This policy applies to</w:t>
      </w:r>
      <w:r w:rsidR="005C1679">
        <w:rPr>
          <w:b w:val="0"/>
        </w:rPr>
        <w:t xml:space="preserve"> Biosafety level </w:t>
      </w:r>
      <w:proofErr w:type="gramStart"/>
      <w:r w:rsidRPr="001961C0">
        <w:rPr>
          <w:b w:val="0"/>
        </w:rPr>
        <w:t>2</w:t>
      </w:r>
      <w:proofErr w:type="gramEnd"/>
      <w:r w:rsidRPr="001961C0">
        <w:rPr>
          <w:b w:val="0"/>
        </w:rPr>
        <w:t xml:space="preserve"> and lower laboratories that produce biohazardous waste, including biohazardous sharps waste, at any UI campus or research center.</w:t>
      </w:r>
      <w:bookmarkEnd w:id="5"/>
    </w:p>
    <w:p w:rsidR="001961C0" w:rsidRDefault="001961C0" w:rsidP="001961C0">
      <w:pPr>
        <w:pStyle w:val="Heading1"/>
      </w:pPr>
      <w:bookmarkStart w:id="6" w:name="_Toc473286142"/>
      <w:r>
        <w:t>Policy</w:t>
      </w:r>
      <w:bookmarkEnd w:id="6"/>
    </w:p>
    <w:p w:rsidR="001961C0" w:rsidRPr="00E602AD" w:rsidRDefault="001961C0" w:rsidP="00E602AD">
      <w:pPr>
        <w:pStyle w:val="Heading2"/>
        <w:numPr>
          <w:ilvl w:val="0"/>
          <w:numId w:val="0"/>
        </w:numPr>
        <w:ind w:left="720"/>
        <w:rPr>
          <w:b w:val="0"/>
        </w:rPr>
      </w:pPr>
      <w:bookmarkStart w:id="7" w:name="_Toc473286143"/>
      <w:r w:rsidRPr="001961C0">
        <w:rPr>
          <w:b w:val="0"/>
        </w:rPr>
        <w:t>This policy ensures compliance with institutional, local, state, and federal mandates for the handling of biohazardous waste and biohazardous sharps.</w:t>
      </w:r>
      <w:bookmarkEnd w:id="7"/>
      <w:r w:rsidRPr="001961C0">
        <w:rPr>
          <w:b w:val="0"/>
        </w:rPr>
        <w:t xml:space="preserve"> </w:t>
      </w:r>
    </w:p>
    <w:p w:rsidR="001961C0" w:rsidRDefault="001961C0" w:rsidP="001961C0">
      <w:pPr>
        <w:pStyle w:val="Heading1"/>
      </w:pPr>
      <w:bookmarkStart w:id="8" w:name="_Toc473286144"/>
      <w:r>
        <w:t>Procedures – Decontamination</w:t>
      </w:r>
      <w:bookmarkEnd w:id="8"/>
    </w:p>
    <w:p w:rsidR="001961C0" w:rsidRPr="001961C0" w:rsidRDefault="001961C0" w:rsidP="001961C0">
      <w:pPr>
        <w:pStyle w:val="Heading1"/>
        <w:numPr>
          <w:ilvl w:val="0"/>
          <w:numId w:val="0"/>
        </w:numPr>
        <w:spacing w:before="0"/>
        <w:rPr>
          <w:b w:val="0"/>
          <w:i/>
        </w:rPr>
      </w:pPr>
      <w:bookmarkStart w:id="9" w:name="_Toc473286145"/>
      <w:r w:rsidRPr="001961C0">
        <w:rPr>
          <w:b w:val="0"/>
          <w:i/>
        </w:rPr>
        <w:t>All items must be decontaminated prior to disposal:</w:t>
      </w:r>
      <w:bookmarkEnd w:id="9"/>
    </w:p>
    <w:p w:rsidR="001961C0" w:rsidRPr="001961C0" w:rsidRDefault="001961C0" w:rsidP="001961C0">
      <w:pPr>
        <w:pStyle w:val="Heading2"/>
        <w:rPr>
          <w:b w:val="0"/>
          <w:color w:val="000000" w:themeColor="text1"/>
        </w:rPr>
      </w:pPr>
      <w:bookmarkStart w:id="10" w:name="_Toc473286146"/>
      <w:r w:rsidRPr="001961C0">
        <w:rPr>
          <w:b w:val="0"/>
          <w:color w:val="000000" w:themeColor="text1"/>
        </w:rPr>
        <w:t>Biohazardous liquid waste</w:t>
      </w:r>
      <w:bookmarkEnd w:id="10"/>
      <w:r w:rsidRPr="001961C0">
        <w:rPr>
          <w:b w:val="0"/>
          <w:color w:val="000000" w:themeColor="text1"/>
        </w:rPr>
        <w:t xml:space="preserve"> </w:t>
      </w:r>
    </w:p>
    <w:p w:rsidR="001961C0" w:rsidRPr="001961C0" w:rsidRDefault="001961C0" w:rsidP="001961C0">
      <w:pPr>
        <w:pStyle w:val="Heading3"/>
        <w:rPr>
          <w:color w:val="000000" w:themeColor="text1"/>
        </w:rPr>
      </w:pPr>
      <w:bookmarkStart w:id="11" w:name="_Toc473286147"/>
      <w:r w:rsidRPr="001961C0">
        <w:rPr>
          <w:color w:val="000000" w:themeColor="text1"/>
        </w:rPr>
        <w:t>Add appropriate disinfectant for contact time</w:t>
      </w:r>
      <w:bookmarkEnd w:id="11"/>
    </w:p>
    <w:p w:rsidR="001961C0" w:rsidRPr="001961C0" w:rsidRDefault="001961C0" w:rsidP="001961C0">
      <w:pPr>
        <w:pStyle w:val="Heading3"/>
        <w:rPr>
          <w:color w:val="000000" w:themeColor="text1"/>
        </w:rPr>
      </w:pPr>
      <w:bookmarkStart w:id="12" w:name="_Toc473286148"/>
      <w:r w:rsidRPr="001961C0">
        <w:rPr>
          <w:color w:val="000000" w:themeColor="text1"/>
        </w:rPr>
        <w:t xml:space="preserve">Once contact time is completed, dispose of </w:t>
      </w:r>
      <w:bookmarkEnd w:id="12"/>
      <w:r w:rsidR="00B842A6">
        <w:rPr>
          <w:color w:val="000000" w:themeColor="text1"/>
        </w:rPr>
        <w:t>by pouring down the drain to sanitary sewer, or in accordance with disinfectant requirements</w:t>
      </w:r>
    </w:p>
    <w:p w:rsidR="001961C0" w:rsidRPr="001961C0" w:rsidRDefault="001961C0" w:rsidP="001961C0">
      <w:pPr>
        <w:pStyle w:val="Heading3"/>
        <w:rPr>
          <w:color w:val="000000" w:themeColor="text1"/>
        </w:rPr>
      </w:pPr>
      <w:bookmarkStart w:id="13" w:name="_Toc473286149"/>
      <w:r w:rsidRPr="001961C0">
        <w:rPr>
          <w:color w:val="000000" w:themeColor="text1"/>
        </w:rPr>
        <w:t>If disinfectant is considered a hazardous material, contact EH&amp;S for disposal</w:t>
      </w:r>
      <w:bookmarkEnd w:id="13"/>
    </w:p>
    <w:p w:rsidR="001961C0" w:rsidRPr="001961C0" w:rsidRDefault="001961C0" w:rsidP="001961C0">
      <w:pPr>
        <w:pStyle w:val="Heading2"/>
        <w:rPr>
          <w:b w:val="0"/>
          <w:color w:val="000000" w:themeColor="text1"/>
        </w:rPr>
      </w:pPr>
      <w:bookmarkStart w:id="14" w:name="_Toc473286150"/>
      <w:r w:rsidRPr="001961C0">
        <w:rPr>
          <w:b w:val="0"/>
          <w:color w:val="000000" w:themeColor="text1"/>
        </w:rPr>
        <w:t>Biohazardous solid waste</w:t>
      </w:r>
      <w:bookmarkEnd w:id="14"/>
    </w:p>
    <w:p w:rsidR="001961C0" w:rsidRPr="001961C0" w:rsidRDefault="001961C0" w:rsidP="001961C0">
      <w:pPr>
        <w:pStyle w:val="Heading3"/>
        <w:rPr>
          <w:color w:val="000000" w:themeColor="text1"/>
        </w:rPr>
      </w:pPr>
      <w:bookmarkStart w:id="15" w:name="_Toc473286151"/>
      <w:r w:rsidRPr="001961C0">
        <w:rPr>
          <w:color w:val="000000" w:themeColor="text1"/>
        </w:rPr>
        <w:t xml:space="preserve">Place in </w:t>
      </w:r>
      <w:r w:rsidR="00B842A6">
        <w:rPr>
          <w:color w:val="000000" w:themeColor="text1"/>
        </w:rPr>
        <w:t>leak-proof autoclavable biohazard bag</w:t>
      </w:r>
      <w:r w:rsidR="005C1679">
        <w:rPr>
          <w:color w:val="000000" w:themeColor="text1"/>
        </w:rPr>
        <w:t xml:space="preserve"> that is clearly labelled with the universal biohazard symbol</w:t>
      </w:r>
      <w:bookmarkEnd w:id="15"/>
    </w:p>
    <w:p w:rsidR="001961C0" w:rsidRPr="001961C0" w:rsidRDefault="001961C0" w:rsidP="001961C0">
      <w:pPr>
        <w:pStyle w:val="Heading3"/>
        <w:rPr>
          <w:color w:val="000000" w:themeColor="text1"/>
        </w:rPr>
      </w:pPr>
      <w:bookmarkStart w:id="16" w:name="_Toc473286152"/>
      <w:r w:rsidRPr="001961C0">
        <w:rPr>
          <w:color w:val="000000" w:themeColor="text1"/>
        </w:rPr>
        <w:t>Autoclave or incinerate, as indicated for the agent and specified in the lab specific biosafety manual</w:t>
      </w:r>
      <w:bookmarkEnd w:id="16"/>
    </w:p>
    <w:p w:rsidR="001961C0" w:rsidRPr="001961C0" w:rsidRDefault="001961C0" w:rsidP="001961C0">
      <w:pPr>
        <w:pStyle w:val="Heading4"/>
        <w:rPr>
          <w:color w:val="000000" w:themeColor="text1"/>
        </w:rPr>
      </w:pPr>
      <w:r w:rsidRPr="001961C0">
        <w:rPr>
          <w:color w:val="000000" w:themeColor="text1"/>
        </w:rPr>
        <w:t>Prior to autoclaving, place an “x” in autoclave indicator tape over the universal biohazard symbol</w:t>
      </w:r>
    </w:p>
    <w:p w:rsidR="001961C0" w:rsidRPr="001961C0" w:rsidRDefault="001961C0" w:rsidP="001961C0">
      <w:pPr>
        <w:pStyle w:val="Heading4"/>
        <w:rPr>
          <w:color w:val="000000" w:themeColor="text1"/>
        </w:rPr>
      </w:pPr>
      <w:r w:rsidRPr="001961C0">
        <w:rPr>
          <w:color w:val="000000" w:themeColor="text1"/>
        </w:rPr>
        <w:lastRenderedPageBreak/>
        <w:t>After autoclaving, place biohazard bag into a black trash bag, and seal prior to disposal</w:t>
      </w:r>
    </w:p>
    <w:p w:rsidR="001961C0" w:rsidRPr="001961C0" w:rsidRDefault="005C1679" w:rsidP="001961C0">
      <w:pPr>
        <w:pStyle w:val="Heading4"/>
        <w:rPr>
          <w:color w:val="000000" w:themeColor="text1"/>
        </w:rPr>
      </w:pPr>
      <w:r>
        <w:rPr>
          <w:color w:val="000000" w:themeColor="text1"/>
        </w:rPr>
        <w:t>Laboratory staff i</w:t>
      </w:r>
      <w:r w:rsidR="001961C0" w:rsidRPr="001961C0">
        <w:rPr>
          <w:color w:val="000000" w:themeColor="text1"/>
        </w:rPr>
        <w:t xml:space="preserve">mmediately dispose of </w:t>
      </w:r>
      <w:r>
        <w:rPr>
          <w:color w:val="000000" w:themeColor="text1"/>
        </w:rPr>
        <w:t>properly bagged waste in the dumpster</w:t>
      </w:r>
    </w:p>
    <w:p w:rsidR="001961C0" w:rsidRDefault="001961C0" w:rsidP="001961C0">
      <w:pPr>
        <w:pStyle w:val="Heading2"/>
        <w:rPr>
          <w:b w:val="0"/>
          <w:color w:val="000000" w:themeColor="text1"/>
        </w:rPr>
      </w:pPr>
      <w:bookmarkStart w:id="17" w:name="_Toc473286153"/>
      <w:r w:rsidRPr="001961C0">
        <w:rPr>
          <w:b w:val="0"/>
          <w:color w:val="000000" w:themeColor="text1"/>
        </w:rPr>
        <w:t>Biohazardous sharps waste</w:t>
      </w:r>
      <w:bookmarkEnd w:id="17"/>
    </w:p>
    <w:p w:rsidR="005C1679" w:rsidRDefault="005C1679" w:rsidP="005C1679">
      <w:pPr>
        <w:pStyle w:val="Heading3"/>
        <w:rPr>
          <w:color w:val="000000" w:themeColor="text1"/>
        </w:rPr>
      </w:pPr>
      <w:bookmarkStart w:id="18" w:name="_Toc473286154"/>
      <w:r w:rsidRPr="005C1679">
        <w:rPr>
          <w:color w:val="000000" w:themeColor="text1"/>
        </w:rPr>
        <w:t>Place in hard-walled,</w:t>
      </w:r>
      <w:r w:rsidR="0035739C">
        <w:rPr>
          <w:color w:val="000000" w:themeColor="text1"/>
        </w:rPr>
        <w:t xml:space="preserve"> puncture resistant, leak-proof,</w:t>
      </w:r>
      <w:r w:rsidRPr="005C1679">
        <w:rPr>
          <w:color w:val="000000" w:themeColor="text1"/>
        </w:rPr>
        <w:t xml:space="preserve"> sealable container that is clearly labelled with the universal biohazard symbol</w:t>
      </w:r>
      <w:bookmarkEnd w:id="18"/>
    </w:p>
    <w:p w:rsidR="00B842A6" w:rsidRPr="00B842A6" w:rsidRDefault="00B842A6" w:rsidP="00B842A6">
      <w:pPr>
        <w:rPr>
          <w:i/>
        </w:rPr>
      </w:pPr>
      <w:r>
        <w:tab/>
      </w:r>
      <w:r>
        <w:tab/>
      </w:r>
      <w:r>
        <w:tab/>
      </w:r>
      <w:r>
        <w:tab/>
      </w:r>
      <w:r>
        <w:tab/>
      </w:r>
      <w:r>
        <w:tab/>
      </w:r>
      <w:r>
        <w:tab/>
      </w:r>
      <w:r>
        <w:rPr>
          <w:i/>
        </w:rPr>
        <w:t xml:space="preserve">Note: Sharps containers are single use containers and should not be emptied and </w:t>
      </w:r>
      <w:r>
        <w:rPr>
          <w:i/>
        </w:rPr>
        <w:tab/>
      </w:r>
      <w:r>
        <w:rPr>
          <w:i/>
        </w:rPr>
        <w:tab/>
      </w:r>
      <w:r>
        <w:rPr>
          <w:i/>
        </w:rPr>
        <w:tab/>
      </w:r>
      <w:r>
        <w:rPr>
          <w:i/>
        </w:rPr>
        <w:tab/>
      </w:r>
      <w:r>
        <w:rPr>
          <w:i/>
        </w:rPr>
        <w:tab/>
      </w:r>
      <w:r>
        <w:rPr>
          <w:i/>
        </w:rPr>
        <w:tab/>
      </w:r>
      <w:r>
        <w:rPr>
          <w:i/>
        </w:rPr>
        <w:tab/>
        <w:t>reused.</w:t>
      </w:r>
    </w:p>
    <w:p w:rsidR="005C1679" w:rsidRPr="005C1679" w:rsidRDefault="005C1679" w:rsidP="005C1679">
      <w:pPr>
        <w:pStyle w:val="Heading3"/>
        <w:rPr>
          <w:color w:val="000000" w:themeColor="text1"/>
        </w:rPr>
      </w:pPr>
      <w:bookmarkStart w:id="19" w:name="_Toc473286155"/>
      <w:r w:rsidRPr="005C1679">
        <w:rPr>
          <w:color w:val="000000" w:themeColor="text1"/>
        </w:rPr>
        <w:t>Autoclave or incinerate, as indicated for the agent and specified in the lab specific biosafety manual</w:t>
      </w:r>
      <w:bookmarkEnd w:id="19"/>
    </w:p>
    <w:p w:rsidR="005C1679" w:rsidRPr="001961C0" w:rsidRDefault="005C1679" w:rsidP="005C1679">
      <w:pPr>
        <w:pStyle w:val="Heading4"/>
        <w:rPr>
          <w:color w:val="000000" w:themeColor="text1"/>
        </w:rPr>
      </w:pPr>
      <w:r w:rsidRPr="001961C0">
        <w:rPr>
          <w:color w:val="000000" w:themeColor="text1"/>
        </w:rPr>
        <w:t>Prior to autoclaving, place an “x” in autoclave indicator tape over the universal biohazard symbol</w:t>
      </w:r>
      <w:r w:rsidR="00B842A6">
        <w:rPr>
          <w:color w:val="000000" w:themeColor="text1"/>
        </w:rPr>
        <w:t>, or over the sharps label</w:t>
      </w:r>
    </w:p>
    <w:p w:rsidR="005C1679" w:rsidRPr="001961C0" w:rsidRDefault="005C1679" w:rsidP="005C1679">
      <w:pPr>
        <w:pStyle w:val="Heading4"/>
        <w:rPr>
          <w:color w:val="000000" w:themeColor="text1"/>
        </w:rPr>
      </w:pPr>
      <w:r w:rsidRPr="001961C0">
        <w:rPr>
          <w:color w:val="000000" w:themeColor="text1"/>
        </w:rPr>
        <w:t xml:space="preserve">After </w:t>
      </w:r>
      <w:r>
        <w:rPr>
          <w:color w:val="000000" w:themeColor="text1"/>
        </w:rPr>
        <w:t>autoclaving, place biohazard container</w:t>
      </w:r>
      <w:r w:rsidRPr="001961C0">
        <w:rPr>
          <w:color w:val="000000" w:themeColor="text1"/>
        </w:rPr>
        <w:t xml:space="preserve"> into </w:t>
      </w:r>
      <w:r>
        <w:rPr>
          <w:color w:val="000000" w:themeColor="text1"/>
        </w:rPr>
        <w:t>a cardboard box, seal well with tape, and label box as “non-hazardous sharps”</w:t>
      </w:r>
    </w:p>
    <w:p w:rsidR="00B842A6" w:rsidRPr="00B842A6" w:rsidRDefault="005C1679" w:rsidP="00B842A6">
      <w:pPr>
        <w:pStyle w:val="Heading4"/>
        <w:rPr>
          <w:color w:val="000000" w:themeColor="text1"/>
        </w:rPr>
      </w:pPr>
      <w:r>
        <w:rPr>
          <w:color w:val="000000" w:themeColor="text1"/>
        </w:rPr>
        <w:t>Laboratory staff i</w:t>
      </w:r>
      <w:r w:rsidRPr="001961C0">
        <w:rPr>
          <w:color w:val="000000" w:themeColor="text1"/>
        </w:rPr>
        <w:t xml:space="preserve">mmediately dispose of </w:t>
      </w:r>
      <w:r>
        <w:rPr>
          <w:color w:val="000000" w:themeColor="text1"/>
        </w:rPr>
        <w:t>properly labelled and well-sealed box in the dumpster</w:t>
      </w:r>
    </w:p>
    <w:p w:rsidR="001961C0" w:rsidRDefault="001961C0" w:rsidP="001961C0">
      <w:pPr>
        <w:pStyle w:val="Heading1"/>
      </w:pPr>
      <w:bookmarkStart w:id="20" w:name="_Toc473286156"/>
      <w:r>
        <w:t>References</w:t>
      </w:r>
      <w:bookmarkEnd w:id="20"/>
    </w:p>
    <w:p w:rsidR="001961C0" w:rsidRPr="00472881" w:rsidRDefault="001961C0" w:rsidP="00472881">
      <w:pPr>
        <w:pStyle w:val="Heading2"/>
        <w:rPr>
          <w:b w:val="0"/>
        </w:rPr>
      </w:pPr>
      <w:bookmarkStart w:id="21" w:name="_Toc473286157"/>
      <w:r w:rsidRPr="00472881">
        <w:rPr>
          <w:b w:val="0"/>
        </w:rPr>
        <w:t>Biosafety in Microbiological and Biomedical Laboratories</w:t>
      </w:r>
      <w:bookmarkEnd w:id="21"/>
      <w:r w:rsidRPr="00472881">
        <w:rPr>
          <w:b w:val="0"/>
        </w:rPr>
        <w:br/>
      </w:r>
    </w:p>
    <w:p w:rsidR="001961C0" w:rsidRDefault="001961C0" w:rsidP="00472881">
      <w:pPr>
        <w:pStyle w:val="Heading2"/>
      </w:pPr>
      <w:bookmarkStart w:id="22" w:name="_Toc473286158"/>
      <w:r w:rsidRPr="00472881">
        <w:rPr>
          <w:b w:val="0"/>
        </w:rPr>
        <w:t>University of Idaho Institutional Biosafety Committee Policies</w:t>
      </w:r>
      <w:bookmarkEnd w:id="22"/>
      <w:r>
        <w:br/>
      </w:r>
    </w:p>
    <w:p w:rsidR="008378ED" w:rsidRDefault="00611AAD" w:rsidP="001961C0"/>
    <w:sectPr w:rsidR="008378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A8" w:rsidRDefault="00716EA8" w:rsidP="0038578C">
      <w:r>
        <w:separator/>
      </w:r>
    </w:p>
  </w:endnote>
  <w:endnote w:type="continuationSeparator" w:id="0">
    <w:p w:rsidR="00716EA8" w:rsidRDefault="00716EA8" w:rsidP="0038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C5" w:rsidRDefault="00373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C5" w:rsidRDefault="00373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C5" w:rsidRDefault="00373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A8" w:rsidRDefault="00716EA8" w:rsidP="0038578C">
      <w:r>
        <w:separator/>
      </w:r>
    </w:p>
  </w:footnote>
  <w:footnote w:type="continuationSeparator" w:id="0">
    <w:p w:rsidR="00716EA8" w:rsidRDefault="00716EA8" w:rsidP="0038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C5" w:rsidRDefault="00373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52" w:rsidRDefault="0038578C" w:rsidP="007A102A">
    <w:pPr>
      <w:pStyle w:val="Header"/>
      <w:tabs>
        <w:tab w:val="left" w:pos="720"/>
      </w:tabs>
      <w:rPr>
        <w:rFonts w:ascii="Trebuchet MS" w:hAnsi="Trebuchet MS"/>
      </w:rPr>
    </w:pPr>
    <w:r w:rsidRPr="00C11252">
      <w:rPr>
        <w:rFonts w:ascii="Trebuchet MS" w:hAnsi="Trebuchet MS"/>
        <w:noProof/>
      </w:rPr>
      <w:drawing>
        <wp:anchor distT="0" distB="0" distL="114300" distR="114300" simplePos="0" relativeHeight="251658240" behindDoc="1" locked="0" layoutInCell="1" allowOverlap="1">
          <wp:simplePos x="0" y="0"/>
          <wp:positionH relativeFrom="column">
            <wp:posOffset>-446567</wp:posOffset>
          </wp:positionH>
          <wp:positionV relativeFrom="paragraph">
            <wp:posOffset>-74428</wp:posOffset>
          </wp:positionV>
          <wp:extent cx="882502" cy="882502"/>
          <wp:effectExtent l="0" t="0" r="0" b="0"/>
          <wp:wrapNone/>
          <wp:docPr id="1" name="Picture 1" descr="U:\UI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I se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502" cy="882502"/>
                  </a:xfrm>
                  <a:prstGeom prst="rect">
                    <a:avLst/>
                  </a:prstGeom>
                  <a:noFill/>
                  <a:ln>
                    <a:noFill/>
                  </a:ln>
                </pic:spPr>
              </pic:pic>
            </a:graphicData>
          </a:graphic>
          <wp14:sizeRelH relativeFrom="page">
            <wp14:pctWidth>0</wp14:pctWidth>
          </wp14:sizeRelH>
          <wp14:sizeRelV relativeFrom="page">
            <wp14:pctHeight>0</wp14:pctHeight>
          </wp14:sizeRelV>
        </wp:anchor>
      </w:drawing>
    </w:r>
    <w:r w:rsidR="00C11252" w:rsidRPr="00C11252">
      <w:rPr>
        <w:rFonts w:ascii="Trebuchet MS" w:hAnsi="Trebuchet MS"/>
      </w:rPr>
      <w:tab/>
    </w:r>
  </w:p>
  <w:p w:rsidR="0038578C" w:rsidRPr="009E182C" w:rsidRDefault="007A102A" w:rsidP="007A102A">
    <w:pPr>
      <w:pStyle w:val="Header"/>
      <w:tabs>
        <w:tab w:val="left" w:pos="720"/>
      </w:tabs>
      <w:rPr>
        <w:rFonts w:ascii="Trebuchet MS" w:hAnsi="Trebuchet MS"/>
      </w:rPr>
    </w:pPr>
    <w:r>
      <w:rPr>
        <w:rFonts w:ascii="Trebuchet MS" w:hAnsi="Trebuchet MS"/>
      </w:rPr>
      <w:tab/>
    </w:r>
    <w:r w:rsidR="00C11252" w:rsidRPr="009E182C">
      <w:rPr>
        <w:rFonts w:ascii="Trebuchet MS" w:hAnsi="Trebuchet MS"/>
      </w:rPr>
      <w:t xml:space="preserve">University of </w:t>
    </w:r>
    <w:r w:rsidR="009E182C" w:rsidRPr="009E182C">
      <w:rPr>
        <w:rFonts w:ascii="Trebuchet MS" w:hAnsi="Trebuchet MS"/>
      </w:rPr>
      <w:t xml:space="preserve">Idaho Institutional Biosafety Committee </w:t>
    </w:r>
    <w:r w:rsidR="009E182C" w:rsidRPr="009E182C">
      <w:rPr>
        <w:rFonts w:ascii="Trebuchet MS" w:hAnsi="Trebuchet MS"/>
      </w:rPr>
      <w:tab/>
    </w:r>
  </w:p>
  <w:p w:rsidR="00C11252" w:rsidRPr="009E182C" w:rsidRDefault="007A102A" w:rsidP="007A102A">
    <w:pPr>
      <w:pStyle w:val="Header"/>
      <w:tabs>
        <w:tab w:val="left" w:pos="720"/>
      </w:tabs>
      <w:rPr>
        <w:rFonts w:ascii="Trebuchet MS" w:hAnsi="Trebuchet MS"/>
      </w:rPr>
    </w:pPr>
    <w:r w:rsidRPr="009E182C">
      <w:rPr>
        <w:rFonts w:ascii="Trebuchet MS" w:hAnsi="Trebuchet MS"/>
      </w:rPr>
      <w:tab/>
    </w:r>
    <w:r w:rsidR="00C11252" w:rsidRPr="009E182C">
      <w:rPr>
        <w:rFonts w:ascii="Trebuchet MS" w:hAnsi="Trebuchet MS"/>
      </w:rPr>
      <w:t>Policy, Procedure, and Guideline</w:t>
    </w:r>
    <w:r w:rsidRPr="009E182C">
      <w:rPr>
        <w:rFonts w:ascii="Trebuchet MS" w:hAnsi="Trebuchet MS"/>
      </w:rPr>
      <w:t xml:space="preserve"> </w:t>
    </w:r>
    <w:r w:rsidRPr="009E182C">
      <w:rPr>
        <w:rFonts w:ascii="Trebuchet MS" w:hAnsi="Trebuchet MS"/>
      </w:rPr>
      <w:tab/>
    </w:r>
    <w:r w:rsidRPr="009E182C">
      <w:rPr>
        <w:rFonts w:ascii="Trebuchet MS" w:hAnsi="Trebuchet MS"/>
      </w:rPr>
      <w:tab/>
    </w:r>
    <w:r w:rsidR="001961C0">
      <w:rPr>
        <w:rFonts w:ascii="Trebuchet MS" w:hAnsi="Trebuchet MS"/>
      </w:rPr>
      <w:t>Effective Date: MM/DD/YYYY</w:t>
    </w:r>
  </w:p>
  <w:p w:rsidR="00C11252" w:rsidRPr="009E182C" w:rsidRDefault="007A102A" w:rsidP="007A102A">
    <w:pPr>
      <w:pStyle w:val="Header"/>
      <w:tabs>
        <w:tab w:val="left" w:pos="720"/>
      </w:tabs>
      <w:rPr>
        <w:rFonts w:ascii="Trebuchet MS" w:hAnsi="Trebuchet MS"/>
      </w:rPr>
    </w:pPr>
    <w:r w:rsidRPr="009E182C">
      <w:rPr>
        <w:rFonts w:ascii="Trebuchet MS" w:hAnsi="Trebuchet MS"/>
      </w:rPr>
      <w:tab/>
    </w:r>
    <w:r w:rsidR="00373BC5">
      <w:rPr>
        <w:rFonts w:ascii="Trebuchet MS" w:hAnsi="Trebuchet MS"/>
      </w:rPr>
      <w:t>31</w:t>
    </w:r>
    <w:r w:rsidR="001961C0">
      <w:rPr>
        <w:rFonts w:ascii="Trebuchet MS" w:hAnsi="Trebuchet MS"/>
      </w:rPr>
      <w:t>8 – Bio Waste and Sharps Disposal</w:t>
    </w:r>
    <w:r w:rsidR="009E182C" w:rsidRPr="009E182C">
      <w:rPr>
        <w:rFonts w:ascii="Trebuchet MS" w:hAnsi="Trebuchet MS"/>
      </w:rPr>
      <w:tab/>
    </w:r>
    <w:r w:rsidR="009E182C" w:rsidRPr="009E182C">
      <w:rPr>
        <w:rFonts w:ascii="Trebuchet MS" w:hAnsi="Trebuchet MS"/>
      </w:rPr>
      <w:tab/>
      <w:t xml:space="preserve">Last Revised: </w:t>
    </w:r>
    <w:r w:rsidR="001961C0">
      <w:rPr>
        <w:rFonts w:ascii="Trebuchet MS" w:hAnsi="Trebuchet MS"/>
      </w:rPr>
      <w:t>01/27/2017</w:t>
    </w:r>
  </w:p>
  <w:p w:rsidR="007A102A" w:rsidRPr="009E182C" w:rsidRDefault="00737FB3" w:rsidP="00C11252">
    <w:pPr>
      <w:pStyle w:val="Header"/>
      <w:tabs>
        <w:tab w:val="left" w:pos="1620"/>
      </w:tabs>
      <w:rPr>
        <w:rFonts w:ascii="Trebuchet MS" w:hAnsi="Trebuchet MS"/>
      </w:rPr>
    </w:pPr>
    <w:r w:rsidRPr="009E182C">
      <w:rPr>
        <w:rFonts w:ascii="Trebuchet MS" w:hAnsi="Trebuchet MS"/>
        <w:noProof/>
      </w:rPr>
      <mc:AlternateContent>
        <mc:Choice Requires="wps">
          <w:drawing>
            <wp:anchor distT="0" distB="0" distL="114300" distR="114300" simplePos="0" relativeHeight="251659264" behindDoc="0" locked="0" layoutInCell="1" allowOverlap="1" wp14:anchorId="6529D37A" wp14:editId="10A2D0CE">
              <wp:simplePos x="0" y="0"/>
              <wp:positionH relativeFrom="column">
                <wp:posOffset>457199</wp:posOffset>
              </wp:positionH>
              <wp:positionV relativeFrom="paragraph">
                <wp:posOffset>52779</wp:posOffset>
              </wp:positionV>
              <wp:extent cx="5475767"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4757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4A2B9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4.15pt" to="46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" strokecolor="#a5a5a5 [3206]" strokeweight=".5pt">
              <v:stroke joinstyle="miter"/>
            </v:line>
          </w:pict>
        </mc:Fallback>
      </mc:AlternateContent>
    </w:r>
    <w:r w:rsidR="007A102A" w:rsidRPr="009E182C">
      <w:rPr>
        <w:rFonts w:ascii="Trebuchet MS" w:hAnsi="Trebuchet M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C5" w:rsidRDefault="0037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0B2"/>
    <w:multiLevelType w:val="hybridMultilevel"/>
    <w:tmpl w:val="61321242"/>
    <w:lvl w:ilvl="0" w:tplc="F9D2B0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3434FD"/>
    <w:multiLevelType w:val="hybridMultilevel"/>
    <w:tmpl w:val="F6D4BC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45DF1"/>
    <w:multiLevelType w:val="hybridMultilevel"/>
    <w:tmpl w:val="7D56B7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30440C"/>
    <w:multiLevelType w:val="hybridMultilevel"/>
    <w:tmpl w:val="690EA5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C45825"/>
    <w:multiLevelType w:val="hybridMultilevel"/>
    <w:tmpl w:val="200CE2B6"/>
    <w:lvl w:ilvl="0" w:tplc="DC6A8708">
      <w:start w:val="1"/>
      <w:numFmt w:val="upperRoman"/>
      <w:lvlText w:val="%1."/>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16A68"/>
    <w:multiLevelType w:val="hybridMultilevel"/>
    <w:tmpl w:val="13C25BF0"/>
    <w:lvl w:ilvl="0" w:tplc="CB66851E">
      <w:start w:val="1"/>
      <w:numFmt w:val="upperLetter"/>
      <w:lvlText w:val="%1."/>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B30F9"/>
    <w:multiLevelType w:val="multilevel"/>
    <w:tmpl w:val="7FEACC7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6F4030F9"/>
    <w:multiLevelType w:val="hybridMultilevel"/>
    <w:tmpl w:val="40961BFE"/>
    <w:lvl w:ilvl="0" w:tplc="04090019">
      <w:start w:val="1"/>
      <w:numFmt w:val="lowerLetter"/>
      <w:lvlText w:val="%1."/>
      <w:lvlJc w:val="left"/>
      <w:pPr>
        <w:ind w:left="1080" w:hanging="360"/>
      </w:pPr>
    </w:lvl>
    <w:lvl w:ilvl="1" w:tplc="91AC107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1"/>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8C"/>
    <w:rsid w:val="0019230C"/>
    <w:rsid w:val="001961C0"/>
    <w:rsid w:val="0033160D"/>
    <w:rsid w:val="0035739C"/>
    <w:rsid w:val="00373BC5"/>
    <w:rsid w:val="0038578C"/>
    <w:rsid w:val="00472881"/>
    <w:rsid w:val="005C1679"/>
    <w:rsid w:val="00611AAD"/>
    <w:rsid w:val="00716EA8"/>
    <w:rsid w:val="00737FB3"/>
    <w:rsid w:val="00773599"/>
    <w:rsid w:val="007A102A"/>
    <w:rsid w:val="009E182C"/>
    <w:rsid w:val="00B842A6"/>
    <w:rsid w:val="00C11252"/>
    <w:rsid w:val="00D84DA0"/>
    <w:rsid w:val="00E602AD"/>
    <w:rsid w:val="00E9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DF011"/>
  <w15:chartTrackingRefBased/>
  <w15:docId w15:val="{69C5F274-AF74-42B5-A25E-7E37324E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C0"/>
    <w:pPr>
      <w:spacing w:after="0" w:line="240" w:lineRule="auto"/>
    </w:pPr>
  </w:style>
  <w:style w:type="paragraph" w:styleId="Heading1">
    <w:name w:val="heading 1"/>
    <w:basedOn w:val="Normal"/>
    <w:next w:val="Normal"/>
    <w:link w:val="Heading1Char"/>
    <w:uiPriority w:val="9"/>
    <w:qFormat/>
    <w:rsid w:val="001961C0"/>
    <w:pPr>
      <w:keepNext/>
      <w:keepLines/>
      <w:numPr>
        <w:numId w:val="8"/>
      </w:numPr>
      <w:spacing w:before="240"/>
      <w:outlineLvl w:val="0"/>
    </w:pPr>
    <w:rPr>
      <w:rFonts w:eastAsiaTheme="majorEastAsia" w:cstheme="majorBidi"/>
      <w:b/>
      <w:sz w:val="24"/>
      <w:szCs w:val="24"/>
    </w:rPr>
  </w:style>
  <w:style w:type="paragraph" w:styleId="Heading2">
    <w:name w:val="heading 2"/>
    <w:basedOn w:val="Normal"/>
    <w:next w:val="Normal"/>
    <w:link w:val="Heading2Char"/>
    <w:uiPriority w:val="9"/>
    <w:unhideWhenUsed/>
    <w:qFormat/>
    <w:rsid w:val="001961C0"/>
    <w:pPr>
      <w:keepNext/>
      <w:keepLines/>
      <w:numPr>
        <w:ilvl w:val="1"/>
        <w:numId w:val="8"/>
      </w:numPr>
      <w:spacing w:before="40"/>
      <w:outlineLvl w:val="1"/>
    </w:pPr>
    <w:rPr>
      <w:rFonts w:eastAsiaTheme="majorEastAsia" w:cstheme="majorBidi"/>
      <w:b/>
      <w:sz w:val="24"/>
      <w:szCs w:val="24"/>
    </w:rPr>
  </w:style>
  <w:style w:type="paragraph" w:styleId="Heading3">
    <w:name w:val="heading 3"/>
    <w:basedOn w:val="Normal"/>
    <w:next w:val="Normal"/>
    <w:link w:val="Heading3Char"/>
    <w:uiPriority w:val="9"/>
    <w:unhideWhenUsed/>
    <w:qFormat/>
    <w:rsid w:val="001961C0"/>
    <w:pPr>
      <w:keepNext/>
      <w:keepLines/>
      <w:numPr>
        <w:ilvl w:val="2"/>
        <w:numId w:val="8"/>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961C0"/>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961C0"/>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961C0"/>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961C0"/>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961C0"/>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61C0"/>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78C"/>
    <w:pPr>
      <w:tabs>
        <w:tab w:val="center" w:pos="4680"/>
        <w:tab w:val="right" w:pos="9360"/>
      </w:tabs>
    </w:pPr>
  </w:style>
  <w:style w:type="character" w:customStyle="1" w:styleId="HeaderChar">
    <w:name w:val="Header Char"/>
    <w:basedOn w:val="DefaultParagraphFont"/>
    <w:link w:val="Header"/>
    <w:uiPriority w:val="99"/>
    <w:rsid w:val="0038578C"/>
  </w:style>
  <w:style w:type="paragraph" w:styleId="Footer">
    <w:name w:val="footer"/>
    <w:basedOn w:val="Normal"/>
    <w:link w:val="FooterChar"/>
    <w:uiPriority w:val="99"/>
    <w:unhideWhenUsed/>
    <w:rsid w:val="0038578C"/>
    <w:pPr>
      <w:tabs>
        <w:tab w:val="center" w:pos="4680"/>
        <w:tab w:val="right" w:pos="9360"/>
      </w:tabs>
    </w:pPr>
  </w:style>
  <w:style w:type="character" w:customStyle="1" w:styleId="FooterChar">
    <w:name w:val="Footer Char"/>
    <w:basedOn w:val="DefaultParagraphFont"/>
    <w:link w:val="Footer"/>
    <w:uiPriority w:val="99"/>
    <w:rsid w:val="0038578C"/>
  </w:style>
  <w:style w:type="character" w:customStyle="1" w:styleId="Heading1Char">
    <w:name w:val="Heading 1 Char"/>
    <w:basedOn w:val="DefaultParagraphFont"/>
    <w:link w:val="Heading1"/>
    <w:uiPriority w:val="9"/>
    <w:rsid w:val="001961C0"/>
    <w:rPr>
      <w:rFonts w:eastAsiaTheme="majorEastAsia" w:cstheme="majorBidi"/>
      <w:b/>
      <w:sz w:val="24"/>
      <w:szCs w:val="24"/>
    </w:rPr>
  </w:style>
  <w:style w:type="character" w:customStyle="1" w:styleId="Heading2Char">
    <w:name w:val="Heading 2 Char"/>
    <w:basedOn w:val="DefaultParagraphFont"/>
    <w:link w:val="Heading2"/>
    <w:uiPriority w:val="9"/>
    <w:rsid w:val="001961C0"/>
    <w:rPr>
      <w:rFonts w:eastAsiaTheme="majorEastAsia" w:cstheme="majorBidi"/>
      <w:b/>
      <w:sz w:val="24"/>
      <w:szCs w:val="24"/>
    </w:rPr>
  </w:style>
  <w:style w:type="character" w:styleId="Hyperlink">
    <w:name w:val="Hyperlink"/>
    <w:basedOn w:val="DefaultParagraphFont"/>
    <w:uiPriority w:val="99"/>
    <w:unhideWhenUsed/>
    <w:rsid w:val="001961C0"/>
    <w:rPr>
      <w:color w:val="0563C1" w:themeColor="hyperlink"/>
      <w:u w:val="single"/>
    </w:rPr>
  </w:style>
  <w:style w:type="paragraph" w:styleId="TOCHeading">
    <w:name w:val="TOC Heading"/>
    <w:basedOn w:val="Heading1"/>
    <w:next w:val="Normal"/>
    <w:uiPriority w:val="39"/>
    <w:unhideWhenUsed/>
    <w:qFormat/>
    <w:rsid w:val="001961C0"/>
    <w:pPr>
      <w:numPr>
        <w:numId w:val="0"/>
      </w:numPr>
      <w:spacing w:line="259" w:lineRule="auto"/>
      <w:outlineLvl w:val="9"/>
    </w:pPr>
  </w:style>
  <w:style w:type="paragraph" w:styleId="TOC1">
    <w:name w:val="toc 1"/>
    <w:basedOn w:val="Normal"/>
    <w:next w:val="Normal"/>
    <w:autoRedefine/>
    <w:uiPriority w:val="39"/>
    <w:unhideWhenUsed/>
    <w:rsid w:val="001961C0"/>
    <w:pPr>
      <w:tabs>
        <w:tab w:val="left" w:pos="440"/>
        <w:tab w:val="right" w:leader="dot" w:pos="9350"/>
      </w:tabs>
    </w:pPr>
  </w:style>
  <w:style w:type="paragraph" w:styleId="TOC2">
    <w:name w:val="toc 2"/>
    <w:basedOn w:val="Normal"/>
    <w:next w:val="Normal"/>
    <w:autoRedefine/>
    <w:uiPriority w:val="39"/>
    <w:unhideWhenUsed/>
    <w:rsid w:val="001961C0"/>
    <w:pPr>
      <w:tabs>
        <w:tab w:val="left" w:pos="660"/>
        <w:tab w:val="right" w:leader="dot" w:pos="9350"/>
      </w:tabs>
      <w:ind w:left="216"/>
    </w:pPr>
  </w:style>
  <w:style w:type="paragraph" w:styleId="NoSpacing">
    <w:name w:val="No Spacing"/>
    <w:uiPriority w:val="1"/>
    <w:qFormat/>
    <w:rsid w:val="001961C0"/>
    <w:pPr>
      <w:spacing w:after="0" w:line="240" w:lineRule="auto"/>
    </w:pPr>
  </w:style>
  <w:style w:type="paragraph" w:styleId="Title">
    <w:name w:val="Title"/>
    <w:basedOn w:val="Normal"/>
    <w:next w:val="Normal"/>
    <w:link w:val="TitleChar"/>
    <w:uiPriority w:val="10"/>
    <w:qFormat/>
    <w:rsid w:val="001961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1C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961C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961C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961C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961C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961C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961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61C0"/>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5C167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3E19-73E0-43C1-8238-FD4A7B4D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Schachtschneider, Amanda (amanda@uidaho.edu)</dc:creator>
  <cp:keywords/>
  <dc:description/>
  <cp:lastModifiedBy>Harris, Audrey (ajharris@uidaho.edu)</cp:lastModifiedBy>
  <cp:revision>2</cp:revision>
  <dcterms:created xsi:type="dcterms:W3CDTF">2017-01-30T19:05:00Z</dcterms:created>
  <dcterms:modified xsi:type="dcterms:W3CDTF">2017-01-30T19:05:00Z</dcterms:modified>
</cp:coreProperties>
</file>